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FD" w:rsidRDefault="001825FD">
      <w:pPr>
        <w:pStyle w:val="ConsPlusNormal"/>
        <w:jc w:val="right"/>
        <w:outlineLvl w:val="0"/>
      </w:pPr>
      <w:r>
        <w:t>Приложение 2</w:t>
      </w:r>
    </w:p>
    <w:p w:rsidR="001825FD" w:rsidRDefault="001825FD">
      <w:pPr>
        <w:pStyle w:val="ConsPlusNormal"/>
        <w:jc w:val="right"/>
      </w:pPr>
      <w:r>
        <w:t>к Закону</w:t>
      </w:r>
    </w:p>
    <w:p w:rsidR="001825FD" w:rsidRDefault="001825FD">
      <w:pPr>
        <w:pStyle w:val="ConsPlusNormal"/>
        <w:jc w:val="right"/>
      </w:pPr>
      <w:r>
        <w:t>Ивановской области</w:t>
      </w:r>
    </w:p>
    <w:p w:rsidR="001825FD" w:rsidRDefault="001825FD">
      <w:pPr>
        <w:pStyle w:val="ConsPlusNormal"/>
        <w:jc w:val="right"/>
      </w:pPr>
      <w:r>
        <w:t>"О межбюджетных отношениях</w:t>
      </w:r>
    </w:p>
    <w:p w:rsidR="001825FD" w:rsidRDefault="001825FD">
      <w:pPr>
        <w:pStyle w:val="ConsPlusNormal"/>
        <w:jc w:val="right"/>
      </w:pPr>
      <w:r>
        <w:t>в Ивановской области"</w:t>
      </w:r>
    </w:p>
    <w:p w:rsidR="001825FD" w:rsidRDefault="001825FD">
      <w:pPr>
        <w:pStyle w:val="ConsPlusNormal"/>
        <w:jc w:val="right"/>
      </w:pPr>
      <w:r>
        <w:t>от 16.12.2019 N 72-ОЗ</w:t>
      </w:r>
    </w:p>
    <w:p w:rsidR="001825FD" w:rsidRDefault="001825FD">
      <w:pPr>
        <w:pStyle w:val="ConsPlusNormal"/>
        <w:jc w:val="right"/>
      </w:pPr>
    </w:p>
    <w:p w:rsidR="001825FD" w:rsidRDefault="001825FD">
      <w:pPr>
        <w:pStyle w:val="ConsPlusTitle"/>
        <w:jc w:val="center"/>
      </w:pPr>
      <w:r>
        <w:t>ПОРЯДОК</w:t>
      </w:r>
    </w:p>
    <w:p w:rsidR="001825FD" w:rsidRDefault="001825FD">
      <w:pPr>
        <w:pStyle w:val="ConsPlusTitle"/>
        <w:jc w:val="center"/>
      </w:pPr>
      <w:r>
        <w:t>И МЕТОДИКА РАСПРЕДЕЛЕНИЯ ДОТАЦИЙ НА ВЫРАВНИВАНИЕ</w:t>
      </w:r>
    </w:p>
    <w:p w:rsidR="001825FD" w:rsidRDefault="001825FD">
      <w:pPr>
        <w:pStyle w:val="ConsPlusTitle"/>
        <w:jc w:val="center"/>
      </w:pPr>
      <w:r>
        <w:t>БЮДЖЕТНОЙ ОБЕСПЕЧЕННОСТИ МУНИЦИПАЛЬНЫХ РАЙОНОВ</w:t>
      </w:r>
    </w:p>
    <w:p w:rsidR="001825FD" w:rsidRDefault="001825FD">
      <w:pPr>
        <w:pStyle w:val="ConsPlusTitle"/>
        <w:jc w:val="center"/>
      </w:pPr>
      <w:r>
        <w:t>(ГОРОДСКИХ ОКРУГОВ), ПОРЯДОК ОПРЕДЕЛЕНИЯ КРИТЕРИЯ</w:t>
      </w:r>
    </w:p>
    <w:p w:rsidR="001825FD" w:rsidRDefault="001825FD">
      <w:pPr>
        <w:pStyle w:val="ConsPlusTitle"/>
        <w:jc w:val="center"/>
      </w:pPr>
      <w:r>
        <w:t>ВЫРАВНИВАНИЯ РАСЧЕТНОЙ БЮДЖЕТНОЙ ОБЕСПЕЧЕННОСТИ</w:t>
      </w:r>
    </w:p>
    <w:p w:rsidR="001825FD" w:rsidRDefault="001825FD">
      <w:pPr>
        <w:pStyle w:val="ConsPlusTitle"/>
        <w:jc w:val="center"/>
      </w:pPr>
      <w:r>
        <w:t>МУНИЦИПАЛЬНЫХ РАЙОНОВ (ГОРОДСКИХ ОКРУГОВ), ПОРЯДОК РАСЧЕТА</w:t>
      </w:r>
    </w:p>
    <w:p w:rsidR="001825FD" w:rsidRDefault="001825FD">
      <w:pPr>
        <w:pStyle w:val="ConsPlusTitle"/>
        <w:jc w:val="center"/>
      </w:pPr>
      <w:r>
        <w:t>И УСТАНОВЛЕНИЯ ЗАМЕНЯЮЩИХ ЧАСТЬ УКАЗАННЫХ ДОТАЦИЙ</w:t>
      </w:r>
    </w:p>
    <w:p w:rsidR="001825FD" w:rsidRDefault="001825FD">
      <w:pPr>
        <w:pStyle w:val="ConsPlusTitle"/>
        <w:jc w:val="center"/>
      </w:pPr>
      <w:r>
        <w:t>ДОПОЛНИТЕЛЬНЫХ НОРМАТИВОВ ОТЧИСЛЕНИЙ ОТ НАЛОГА НА ДОХОДЫ</w:t>
      </w:r>
    </w:p>
    <w:p w:rsidR="001825FD" w:rsidRDefault="001825FD">
      <w:pPr>
        <w:pStyle w:val="ConsPlusTitle"/>
        <w:jc w:val="center"/>
      </w:pPr>
      <w:r>
        <w:t>ФИЗИЧЕСКИХ ЛИЦ В БЮДЖЕТЫ МУНИЦИПАЛЬНЫХ РАЙОНОВ</w:t>
      </w:r>
    </w:p>
    <w:p w:rsidR="001825FD" w:rsidRDefault="001825FD" w:rsidP="001825FD">
      <w:pPr>
        <w:pStyle w:val="ConsPlusTitle"/>
        <w:jc w:val="center"/>
      </w:pPr>
      <w:r>
        <w:t>(ГОРОДСКИХ ОКРУГОВ)</w:t>
      </w:r>
    </w:p>
    <w:p w:rsidR="001825FD" w:rsidRDefault="001825FD">
      <w:pPr>
        <w:pStyle w:val="ConsPlusNormal"/>
      </w:pPr>
    </w:p>
    <w:p w:rsidR="001825FD" w:rsidRDefault="001825FD">
      <w:pPr>
        <w:pStyle w:val="ConsPlusTitle"/>
        <w:jc w:val="center"/>
        <w:outlineLvl w:val="1"/>
      </w:pPr>
      <w:r>
        <w:t>Порядки распределения дотаций на выравнивание бюджетной</w:t>
      </w:r>
    </w:p>
    <w:p w:rsidR="001825FD" w:rsidRDefault="001825FD">
      <w:pPr>
        <w:pStyle w:val="ConsPlusTitle"/>
        <w:jc w:val="center"/>
      </w:pPr>
      <w:r>
        <w:t>обеспеченности муниципальных районов (городских округов)</w:t>
      </w:r>
    </w:p>
    <w:p w:rsidR="001825FD" w:rsidRDefault="001825FD">
      <w:pPr>
        <w:pStyle w:val="ConsPlusTitle"/>
        <w:jc w:val="center"/>
      </w:pPr>
      <w:r>
        <w:t>и определения критерия выравнивания расчетной бюджетной</w:t>
      </w:r>
    </w:p>
    <w:p w:rsidR="001825FD" w:rsidRDefault="001825FD">
      <w:pPr>
        <w:pStyle w:val="ConsPlusTitle"/>
        <w:jc w:val="center"/>
      </w:pPr>
      <w:r>
        <w:t>обеспеченности муниципальных районов (городских округов)</w:t>
      </w:r>
    </w:p>
    <w:p w:rsidR="001825FD" w:rsidRDefault="001825FD">
      <w:pPr>
        <w:pStyle w:val="ConsPlusNormal"/>
      </w:pPr>
    </w:p>
    <w:p w:rsidR="001825FD" w:rsidRDefault="001825FD">
      <w:pPr>
        <w:pStyle w:val="ConsPlusNormal"/>
        <w:ind w:firstLine="540"/>
        <w:jc w:val="both"/>
      </w:pPr>
      <w:r>
        <w:t>Дотации на выравнивание бюджетной обеспеченности муниципальных районов (городских округов) распределяются между муниципальными районами (городскими округами), уровень расчетной бюджетной обеспеченности которых не превышает уровень, определяемый в качестве критерия выравнивания расчетной бюджетной обеспеченности муниципальных районов (городских округов).</w:t>
      </w:r>
    </w:p>
    <w:p w:rsidR="001825FD" w:rsidRDefault="001825FD">
      <w:pPr>
        <w:pStyle w:val="ConsPlusNormal"/>
        <w:spacing w:before="200"/>
        <w:ind w:firstLine="540"/>
        <w:jc w:val="both"/>
      </w:pPr>
      <w:r>
        <w:t>Расчетный объем дотации на выравнивание бюджетной обеспеченности муниципальному району (городскому округу) определяется по следующей формуле:</w:t>
      </w:r>
    </w:p>
    <w:p w:rsidR="001825FD" w:rsidRDefault="001825FD">
      <w:pPr>
        <w:pStyle w:val="ConsPlusNormal"/>
        <w:ind w:firstLine="540"/>
        <w:jc w:val="both"/>
      </w:pPr>
    </w:p>
    <w:p w:rsidR="001825FD" w:rsidRDefault="001825FD">
      <w:pPr>
        <w:pStyle w:val="ConsPlusNormal"/>
        <w:ind w:firstLine="540"/>
        <w:jc w:val="both"/>
      </w:pPr>
      <w:r>
        <w:rPr>
          <w:noProof/>
          <w:position w:val="-42"/>
        </w:rPr>
        <w:drawing>
          <wp:inline distT="0" distB="0" distL="0" distR="0">
            <wp:extent cx="2613660" cy="662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3660" cy="662940"/>
                    </a:xfrm>
                    <a:prstGeom prst="rect">
                      <a:avLst/>
                    </a:prstGeom>
                    <a:noFill/>
                    <a:ln>
                      <a:noFill/>
                    </a:ln>
                  </pic:spPr>
                </pic:pic>
              </a:graphicData>
            </a:graphic>
          </wp:inline>
        </w:drawing>
      </w:r>
      <w:r>
        <w:t xml:space="preserve"> (1)</w:t>
      </w:r>
    </w:p>
    <w:p w:rsidR="001825FD" w:rsidRDefault="001825FD">
      <w:pPr>
        <w:pStyle w:val="ConsPlusNormal"/>
        <w:ind w:firstLine="540"/>
        <w:jc w:val="both"/>
      </w:pPr>
    </w:p>
    <w:p w:rsidR="001825FD" w:rsidRDefault="001825FD">
      <w:pPr>
        <w:pStyle w:val="ConsPlusNormal"/>
        <w:ind w:firstLine="540"/>
        <w:jc w:val="both"/>
      </w:pPr>
      <w:proofErr w:type="spellStart"/>
      <w:r>
        <w:t>Д</w:t>
      </w:r>
      <w:r>
        <w:rPr>
          <w:vertAlign w:val="subscript"/>
        </w:rPr>
        <w:t>i</w:t>
      </w:r>
      <w:proofErr w:type="spellEnd"/>
      <w:r>
        <w:t xml:space="preserve"> - расчетный объем дотации на выравнивание бюджетной обеспеченности муниципальных районов (городских округов) на очередной финансовый год (первый год планового периода, второй год планового периода);</w:t>
      </w:r>
    </w:p>
    <w:p w:rsidR="001825FD" w:rsidRDefault="001825FD">
      <w:pPr>
        <w:pStyle w:val="ConsPlusNormal"/>
        <w:spacing w:before="200"/>
        <w:ind w:firstLine="540"/>
        <w:jc w:val="both"/>
      </w:pPr>
      <w:proofErr w:type="spellStart"/>
      <w:r>
        <w:t>НП</w:t>
      </w:r>
      <w:r>
        <w:rPr>
          <w:vertAlign w:val="subscript"/>
        </w:rPr>
        <w:t>i</w:t>
      </w:r>
      <w:proofErr w:type="spellEnd"/>
      <w:r>
        <w:t xml:space="preserve"> - налоговый потенциал i-</w:t>
      </w:r>
      <w:proofErr w:type="spellStart"/>
      <w:r>
        <w:t>го</w:t>
      </w:r>
      <w:proofErr w:type="spellEnd"/>
      <w:r>
        <w:t xml:space="preserve"> муниципального района (городского округа) на очередной финансовый год (первый год планового периода, второй год планового периода);</w:t>
      </w:r>
    </w:p>
    <w:p w:rsidR="001825FD" w:rsidRDefault="001825FD">
      <w:pPr>
        <w:pStyle w:val="ConsPlusNormal"/>
        <w:spacing w:before="200"/>
        <w:ind w:firstLine="540"/>
        <w:jc w:val="both"/>
      </w:pPr>
      <w:r>
        <w:t>р - критерий выравнивания расчетной бюджетной обеспеченности муниципальных районов (городских округов);</w:t>
      </w:r>
    </w:p>
    <w:p w:rsidR="001825FD" w:rsidRDefault="001825FD">
      <w:pPr>
        <w:pStyle w:val="ConsPlusNormal"/>
        <w:spacing w:before="200"/>
        <w:ind w:firstLine="540"/>
        <w:jc w:val="both"/>
      </w:pPr>
      <w:proofErr w:type="spellStart"/>
      <w:r>
        <w:t>БО</w:t>
      </w:r>
      <w:r>
        <w:rPr>
          <w:vertAlign w:val="subscript"/>
        </w:rPr>
        <w:t>i</w:t>
      </w:r>
      <w:proofErr w:type="spellEnd"/>
      <w:r>
        <w:t xml:space="preserve"> - уровень расчетной бюджетной обеспеченности i-</w:t>
      </w:r>
      <w:proofErr w:type="spellStart"/>
      <w:r>
        <w:t>го</w:t>
      </w:r>
      <w:proofErr w:type="spellEnd"/>
      <w:r>
        <w:t xml:space="preserve"> муниципального района (городского округа);</w:t>
      </w:r>
    </w:p>
    <w:p w:rsidR="001825FD" w:rsidRDefault="001825FD">
      <w:pPr>
        <w:pStyle w:val="ConsPlusNormal"/>
        <w:spacing w:before="200"/>
        <w:ind w:firstLine="540"/>
        <w:jc w:val="both"/>
      </w:pPr>
      <w:proofErr w:type="spellStart"/>
      <w:r>
        <w:t>ИБР</w:t>
      </w:r>
      <w:r>
        <w:rPr>
          <w:vertAlign w:val="subscript"/>
        </w:rPr>
        <w:t>i</w:t>
      </w:r>
      <w:proofErr w:type="spellEnd"/>
      <w:r>
        <w:t xml:space="preserve"> - индекс бюджетных расходов i-</w:t>
      </w:r>
      <w:proofErr w:type="spellStart"/>
      <w:r>
        <w:t>го</w:t>
      </w:r>
      <w:proofErr w:type="spellEnd"/>
      <w:r>
        <w:t xml:space="preserve"> муниципального района (городского округа);</w:t>
      </w:r>
    </w:p>
    <w:p w:rsidR="001825FD" w:rsidRDefault="001825FD">
      <w:pPr>
        <w:pStyle w:val="ConsPlusNormal"/>
        <w:spacing w:before="200"/>
        <w:ind w:firstLine="540"/>
        <w:jc w:val="both"/>
      </w:pPr>
      <w:proofErr w:type="spellStart"/>
      <w:r>
        <w:t>N</w:t>
      </w:r>
      <w:r>
        <w:rPr>
          <w:vertAlign w:val="subscript"/>
        </w:rPr>
        <w:t>i</w:t>
      </w:r>
      <w:proofErr w:type="spellEnd"/>
      <w:r>
        <w:t xml:space="preserve"> - численность постоянного населения i-</w:t>
      </w:r>
      <w:proofErr w:type="spellStart"/>
      <w:r>
        <w:t>го</w:t>
      </w:r>
      <w:proofErr w:type="spellEnd"/>
      <w:r>
        <w:t xml:space="preserve"> муниципального района (городского округа) по данным Территориального органа Федеральной службы государственной статистики по Ивановской области.</w:t>
      </w:r>
    </w:p>
    <w:p w:rsidR="001825FD" w:rsidRDefault="001825FD">
      <w:pPr>
        <w:pStyle w:val="ConsPlusNormal"/>
        <w:spacing w:before="200"/>
        <w:ind w:firstLine="540"/>
        <w:jc w:val="both"/>
      </w:pPr>
      <w:r>
        <w:t>Критерий выравнивания расчетной бюджетной обеспеченности муниципальных районов (городских округов) определяется соотношением между средним уровнем расчетной бюджетной обеспеченности пяти наиболее обеспеченных и средним уровнем расчетной бюджетной обеспеченности пяти наименее обеспеченных муниципальных районов (городских округов), величина которого после выравнивания бюджетной обеспеченности не должна превышать 1,2 раза.</w:t>
      </w:r>
    </w:p>
    <w:p w:rsidR="001825FD" w:rsidRDefault="001825FD">
      <w:pPr>
        <w:pStyle w:val="ConsPlusNormal"/>
        <w:spacing w:before="200"/>
        <w:ind w:firstLine="540"/>
        <w:jc w:val="both"/>
      </w:pPr>
      <w:r>
        <w:t xml:space="preserve">Уровень расчетной бюджетной обеспеченности муниципального района (городского округа) до </w:t>
      </w:r>
      <w:r>
        <w:lastRenderedPageBreak/>
        <w:t>распределения дотаций на выравнивание бюджетной обеспеченности рассчитывается по следующей формуле:</w:t>
      </w:r>
    </w:p>
    <w:p w:rsidR="001825FD" w:rsidRDefault="001825FD">
      <w:pPr>
        <w:pStyle w:val="ConsPlusNormal"/>
        <w:ind w:firstLine="540"/>
        <w:jc w:val="both"/>
      </w:pPr>
    </w:p>
    <w:p w:rsidR="001825FD" w:rsidRDefault="001825FD">
      <w:pPr>
        <w:pStyle w:val="ConsPlusNormal"/>
        <w:ind w:firstLine="540"/>
        <w:jc w:val="both"/>
      </w:pPr>
      <w:r>
        <w:rPr>
          <w:noProof/>
          <w:position w:val="-24"/>
        </w:rPr>
        <w:drawing>
          <wp:inline distT="0" distB="0" distL="0" distR="0">
            <wp:extent cx="1143000" cy="4343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434340"/>
                    </a:xfrm>
                    <a:prstGeom prst="rect">
                      <a:avLst/>
                    </a:prstGeom>
                    <a:noFill/>
                    <a:ln>
                      <a:noFill/>
                    </a:ln>
                  </pic:spPr>
                </pic:pic>
              </a:graphicData>
            </a:graphic>
          </wp:inline>
        </w:drawing>
      </w:r>
      <w:r>
        <w:t xml:space="preserve"> (2)</w:t>
      </w:r>
    </w:p>
    <w:p w:rsidR="001825FD" w:rsidRDefault="001825FD">
      <w:pPr>
        <w:pStyle w:val="ConsPlusNormal"/>
        <w:ind w:firstLine="540"/>
        <w:jc w:val="both"/>
      </w:pPr>
    </w:p>
    <w:p w:rsidR="001825FD" w:rsidRDefault="001825FD">
      <w:pPr>
        <w:pStyle w:val="ConsPlusNormal"/>
        <w:ind w:firstLine="540"/>
        <w:jc w:val="both"/>
      </w:pPr>
      <w:proofErr w:type="spellStart"/>
      <w:r>
        <w:t>БО</w:t>
      </w:r>
      <w:r>
        <w:rPr>
          <w:vertAlign w:val="subscript"/>
        </w:rPr>
        <w:t>i</w:t>
      </w:r>
      <w:proofErr w:type="spellEnd"/>
      <w:r>
        <w:t xml:space="preserve"> - уровень расчетной бюджетной обеспеченности i-</w:t>
      </w:r>
      <w:proofErr w:type="spellStart"/>
      <w:r>
        <w:t>го</w:t>
      </w:r>
      <w:proofErr w:type="spellEnd"/>
      <w:r>
        <w:t xml:space="preserve"> муниципального района (городского округа) до распределения дотаций на выравнивание бюджетной обеспеченности;</w:t>
      </w:r>
    </w:p>
    <w:p w:rsidR="001825FD" w:rsidRDefault="001825FD">
      <w:pPr>
        <w:pStyle w:val="ConsPlusNormal"/>
        <w:spacing w:before="200"/>
        <w:ind w:firstLine="540"/>
        <w:jc w:val="both"/>
      </w:pPr>
      <w:proofErr w:type="spellStart"/>
      <w:r>
        <w:t>ИНП</w:t>
      </w:r>
      <w:r>
        <w:rPr>
          <w:vertAlign w:val="subscript"/>
        </w:rPr>
        <w:t>i</w:t>
      </w:r>
      <w:proofErr w:type="spellEnd"/>
      <w:r>
        <w:t xml:space="preserve"> - индекс налогового потенциала i-</w:t>
      </w:r>
      <w:proofErr w:type="spellStart"/>
      <w:r>
        <w:t>го</w:t>
      </w:r>
      <w:proofErr w:type="spellEnd"/>
      <w:r>
        <w:t xml:space="preserve"> муниципального района (городского округа);</w:t>
      </w:r>
    </w:p>
    <w:p w:rsidR="001825FD" w:rsidRDefault="001825FD">
      <w:pPr>
        <w:pStyle w:val="ConsPlusNormal"/>
        <w:spacing w:before="200"/>
        <w:ind w:firstLine="540"/>
        <w:jc w:val="both"/>
      </w:pPr>
      <w:proofErr w:type="spellStart"/>
      <w:r>
        <w:t>ИБР</w:t>
      </w:r>
      <w:r>
        <w:rPr>
          <w:vertAlign w:val="subscript"/>
        </w:rPr>
        <w:t>i</w:t>
      </w:r>
      <w:proofErr w:type="spellEnd"/>
      <w:r>
        <w:t xml:space="preserve"> - индекс бюджетных расходов i-</w:t>
      </w:r>
      <w:proofErr w:type="spellStart"/>
      <w:r>
        <w:t>го</w:t>
      </w:r>
      <w:proofErr w:type="spellEnd"/>
      <w:r>
        <w:t xml:space="preserve"> муниципального района (городского округа).</w:t>
      </w:r>
    </w:p>
    <w:p w:rsidR="001825FD" w:rsidRDefault="001825FD">
      <w:pPr>
        <w:pStyle w:val="ConsPlusNormal"/>
        <w:spacing w:before="200"/>
        <w:ind w:firstLine="540"/>
        <w:jc w:val="both"/>
      </w:pPr>
      <w:r>
        <w:t>Индекс налогового потенциала муниципального района (городского округа) рассчитывается по следующей формуле:</w:t>
      </w:r>
    </w:p>
    <w:p w:rsidR="001825FD" w:rsidRDefault="001825FD">
      <w:pPr>
        <w:pStyle w:val="ConsPlusNormal"/>
        <w:ind w:firstLine="540"/>
        <w:jc w:val="both"/>
      </w:pPr>
    </w:p>
    <w:p w:rsidR="001825FD" w:rsidRDefault="001825FD">
      <w:pPr>
        <w:pStyle w:val="ConsPlusNormal"/>
        <w:ind w:firstLine="540"/>
        <w:jc w:val="both"/>
      </w:pPr>
      <w:r>
        <w:rPr>
          <w:noProof/>
          <w:position w:val="-32"/>
        </w:rPr>
        <w:drawing>
          <wp:inline distT="0" distB="0" distL="0" distR="0">
            <wp:extent cx="1851660" cy="533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1660" cy="533400"/>
                    </a:xfrm>
                    <a:prstGeom prst="rect">
                      <a:avLst/>
                    </a:prstGeom>
                    <a:noFill/>
                    <a:ln>
                      <a:noFill/>
                    </a:ln>
                  </pic:spPr>
                </pic:pic>
              </a:graphicData>
            </a:graphic>
          </wp:inline>
        </w:drawing>
      </w:r>
      <w:r>
        <w:t xml:space="preserve"> (3)</w:t>
      </w:r>
    </w:p>
    <w:p w:rsidR="001825FD" w:rsidRDefault="001825FD">
      <w:pPr>
        <w:pStyle w:val="ConsPlusNormal"/>
        <w:ind w:firstLine="540"/>
        <w:jc w:val="both"/>
      </w:pPr>
    </w:p>
    <w:p w:rsidR="001825FD" w:rsidRDefault="001825FD">
      <w:pPr>
        <w:pStyle w:val="ConsPlusNormal"/>
        <w:ind w:firstLine="540"/>
        <w:jc w:val="both"/>
      </w:pPr>
      <w:proofErr w:type="spellStart"/>
      <w:r>
        <w:t>ИНП</w:t>
      </w:r>
      <w:r>
        <w:rPr>
          <w:vertAlign w:val="subscript"/>
        </w:rPr>
        <w:t>i</w:t>
      </w:r>
      <w:proofErr w:type="spellEnd"/>
      <w:r>
        <w:t xml:space="preserve"> - индекс налогового потенциала i-</w:t>
      </w:r>
      <w:proofErr w:type="spellStart"/>
      <w:r>
        <w:t>го</w:t>
      </w:r>
      <w:proofErr w:type="spellEnd"/>
      <w:r>
        <w:t xml:space="preserve"> муниципального района (городского округа);</w:t>
      </w:r>
    </w:p>
    <w:p w:rsidR="001825FD" w:rsidRDefault="001825FD">
      <w:pPr>
        <w:pStyle w:val="ConsPlusNormal"/>
        <w:spacing w:before="200"/>
        <w:ind w:firstLine="540"/>
        <w:jc w:val="both"/>
      </w:pPr>
      <w:proofErr w:type="spellStart"/>
      <w:r>
        <w:t>НП</w:t>
      </w:r>
      <w:r>
        <w:rPr>
          <w:vertAlign w:val="subscript"/>
        </w:rPr>
        <w:t>i</w:t>
      </w:r>
      <w:proofErr w:type="spellEnd"/>
      <w:r>
        <w:t xml:space="preserve"> - налоговый потенциал i-</w:t>
      </w:r>
      <w:proofErr w:type="spellStart"/>
      <w:r>
        <w:t>го</w:t>
      </w:r>
      <w:proofErr w:type="spellEnd"/>
      <w:r>
        <w:t xml:space="preserve"> муниципального района (городского округа) на очередной финансовый год (первый год планового периода, второй год планового периода);</w:t>
      </w:r>
    </w:p>
    <w:p w:rsidR="001825FD" w:rsidRDefault="001825FD">
      <w:pPr>
        <w:pStyle w:val="ConsPlusNormal"/>
        <w:spacing w:before="200"/>
        <w:ind w:firstLine="540"/>
        <w:jc w:val="both"/>
      </w:pPr>
      <w:proofErr w:type="spellStart"/>
      <w:r>
        <w:t>N</w:t>
      </w:r>
      <w:r>
        <w:rPr>
          <w:vertAlign w:val="subscript"/>
        </w:rPr>
        <w:t>i</w:t>
      </w:r>
      <w:proofErr w:type="spellEnd"/>
      <w:r>
        <w:t xml:space="preserve"> - численность постоянного населения i-</w:t>
      </w:r>
      <w:proofErr w:type="spellStart"/>
      <w:r>
        <w:t>го</w:t>
      </w:r>
      <w:proofErr w:type="spellEnd"/>
      <w:r>
        <w:t xml:space="preserve"> муниципального района (городского округа) по данным Территориального органа Федеральной службы государственной статистики по Ивановской области.</w:t>
      </w:r>
    </w:p>
    <w:p w:rsidR="001825FD" w:rsidRDefault="001825FD">
      <w:pPr>
        <w:pStyle w:val="ConsPlusNormal"/>
        <w:spacing w:before="200"/>
        <w:ind w:firstLine="540"/>
        <w:jc w:val="both"/>
      </w:pPr>
      <w:r>
        <w:t>Налоговый потенциал муниципального района (городского округа) рассчитывается по формуле:</w:t>
      </w:r>
    </w:p>
    <w:p w:rsidR="001825FD" w:rsidRDefault="001825FD">
      <w:pPr>
        <w:pStyle w:val="ConsPlusNormal"/>
        <w:ind w:firstLine="540"/>
        <w:jc w:val="both"/>
      </w:pPr>
    </w:p>
    <w:p w:rsidR="001825FD" w:rsidRDefault="001825FD">
      <w:pPr>
        <w:pStyle w:val="ConsPlusNormal"/>
        <w:spacing w:before="260"/>
        <w:ind w:firstLine="540"/>
        <w:jc w:val="both"/>
      </w:pPr>
      <w:proofErr w:type="spellStart"/>
      <w:r>
        <w:t>НП</w:t>
      </w:r>
      <w:r>
        <w:rPr>
          <w:vertAlign w:val="subscript"/>
        </w:rPr>
        <w:t>i</w:t>
      </w:r>
      <w:proofErr w:type="spellEnd"/>
      <w:r>
        <w:t xml:space="preserve"> = НП(</w:t>
      </w:r>
      <w:proofErr w:type="spellStart"/>
      <w:r>
        <w:t>НДФЛ</w:t>
      </w:r>
      <w:r>
        <w:rPr>
          <w:vertAlign w:val="subscript"/>
        </w:rPr>
        <w:t>i</w:t>
      </w:r>
      <w:proofErr w:type="spellEnd"/>
      <w:r>
        <w:t>) + НП(</w:t>
      </w:r>
      <w:proofErr w:type="spellStart"/>
      <w:r>
        <w:t>УСНО</w:t>
      </w:r>
      <w:r>
        <w:rPr>
          <w:vertAlign w:val="subscript"/>
        </w:rPr>
        <w:t>i</w:t>
      </w:r>
      <w:proofErr w:type="spellEnd"/>
      <w:r>
        <w:t>) + НП(</w:t>
      </w:r>
      <w:proofErr w:type="spellStart"/>
      <w:r>
        <w:t>Пр</w:t>
      </w:r>
      <w:r>
        <w:rPr>
          <w:vertAlign w:val="subscript"/>
        </w:rPr>
        <w:t>i</w:t>
      </w:r>
      <w:proofErr w:type="spellEnd"/>
      <w:r>
        <w:t>), где (4)</w:t>
      </w:r>
    </w:p>
    <w:p w:rsidR="001825FD" w:rsidRDefault="001825FD">
      <w:pPr>
        <w:pStyle w:val="ConsPlusNormal"/>
        <w:ind w:firstLine="540"/>
        <w:jc w:val="both"/>
      </w:pPr>
    </w:p>
    <w:p w:rsidR="001825FD" w:rsidRDefault="001825FD">
      <w:pPr>
        <w:pStyle w:val="ConsPlusNormal"/>
        <w:ind w:firstLine="540"/>
        <w:jc w:val="both"/>
      </w:pPr>
      <w:proofErr w:type="spellStart"/>
      <w:r>
        <w:t>НП</w:t>
      </w:r>
      <w:r>
        <w:rPr>
          <w:vertAlign w:val="subscript"/>
        </w:rPr>
        <w:t>i</w:t>
      </w:r>
      <w:proofErr w:type="spellEnd"/>
      <w:r>
        <w:t xml:space="preserve"> - налоговый потенциал i-</w:t>
      </w:r>
      <w:proofErr w:type="spellStart"/>
      <w:r>
        <w:t>го</w:t>
      </w:r>
      <w:proofErr w:type="spellEnd"/>
      <w:r>
        <w:t xml:space="preserve"> муниципального района (городского округа) на очередной финансовый год (первый год планового периода, второй год планового периода);</w:t>
      </w:r>
    </w:p>
    <w:p w:rsidR="001825FD" w:rsidRDefault="001825FD">
      <w:pPr>
        <w:pStyle w:val="ConsPlusNormal"/>
        <w:spacing w:before="200"/>
        <w:ind w:firstLine="540"/>
        <w:jc w:val="both"/>
      </w:pPr>
      <w:r>
        <w:t>НП(</w:t>
      </w:r>
      <w:proofErr w:type="spellStart"/>
      <w:r>
        <w:t>НДФЛ</w:t>
      </w:r>
      <w:r>
        <w:rPr>
          <w:vertAlign w:val="subscript"/>
        </w:rPr>
        <w:t>i</w:t>
      </w:r>
      <w:proofErr w:type="spellEnd"/>
      <w:r>
        <w:t>) - налоговый потенциал i-</w:t>
      </w:r>
      <w:proofErr w:type="spellStart"/>
      <w:r>
        <w:t>го</w:t>
      </w:r>
      <w:proofErr w:type="spellEnd"/>
      <w:r>
        <w:t xml:space="preserve"> муниципального района (городского округа) по налогу на доходы физических лиц на очередной финансовый год (первый год планового периода, второй год планового периода);</w:t>
      </w:r>
    </w:p>
    <w:p w:rsidR="001825FD" w:rsidRDefault="001825FD">
      <w:pPr>
        <w:pStyle w:val="ConsPlusNormal"/>
        <w:spacing w:before="200"/>
        <w:ind w:firstLine="540"/>
        <w:jc w:val="both"/>
      </w:pPr>
      <w:r>
        <w:t>НП(</w:t>
      </w:r>
      <w:proofErr w:type="spellStart"/>
      <w:r>
        <w:t>УСНО</w:t>
      </w:r>
      <w:r>
        <w:rPr>
          <w:vertAlign w:val="subscript"/>
        </w:rPr>
        <w:t>i</w:t>
      </w:r>
      <w:proofErr w:type="spellEnd"/>
      <w:r>
        <w:t>) - налоговый потенциал i-</w:t>
      </w:r>
      <w:proofErr w:type="spellStart"/>
      <w:r>
        <w:t>го</w:t>
      </w:r>
      <w:proofErr w:type="spellEnd"/>
      <w:r>
        <w:t xml:space="preserve"> муниципального района (городского округа) по налогу, взимаемому в связи с применением упрощенной системы налогообложения, на очередной финансовый год (первый год планового периода, второй год планового периода);</w:t>
      </w:r>
    </w:p>
    <w:p w:rsidR="001825FD" w:rsidRDefault="001825FD">
      <w:pPr>
        <w:pStyle w:val="ConsPlusNormal"/>
        <w:spacing w:before="200"/>
        <w:ind w:firstLine="540"/>
        <w:jc w:val="both"/>
      </w:pPr>
      <w:bookmarkStart w:id="0" w:name="_GoBack"/>
      <w:bookmarkEnd w:id="0"/>
      <w:r>
        <w:t>НП(</w:t>
      </w:r>
      <w:proofErr w:type="spellStart"/>
      <w:r>
        <w:t>Пр</w:t>
      </w:r>
      <w:r>
        <w:rPr>
          <w:vertAlign w:val="subscript"/>
        </w:rPr>
        <w:t>i</w:t>
      </w:r>
      <w:proofErr w:type="spellEnd"/>
      <w:r>
        <w:t>) - налоговый потенциал i-</w:t>
      </w:r>
      <w:proofErr w:type="spellStart"/>
      <w:r>
        <w:t>го</w:t>
      </w:r>
      <w:proofErr w:type="spellEnd"/>
      <w:r>
        <w:t xml:space="preserve"> муниципального района (городского округа) по прочим видам налогов на очередной финансовый год (первый год планового периода, второй год планового периода). В числе прочих налогов учитываются единый сельскохозяйственный налог, налог, уплачиваемый в связи с применением патентной системы налогообложения, налог на добычу полезных ископаемых, государственная пошлина по делам, рассматриваемым судами общей юрисдикции, мировыми судьями (за исключением Верховного Суда Российской Федерации), а также задолженность и перерасчеты по отмененным налогам и сборам.</w:t>
      </w:r>
    </w:p>
    <w:p w:rsidR="001825FD" w:rsidRDefault="001825FD">
      <w:pPr>
        <w:pStyle w:val="ConsPlusNormal"/>
        <w:spacing w:before="200"/>
        <w:ind w:firstLine="540"/>
        <w:jc w:val="both"/>
      </w:pPr>
      <w:r>
        <w:t>Налоговый потенциал муниципального района (городского округа) по отдельным налогам рассчитывается по формулам:</w:t>
      </w:r>
    </w:p>
    <w:p w:rsidR="001825FD" w:rsidRDefault="001825FD">
      <w:pPr>
        <w:pStyle w:val="ConsPlusNormal"/>
        <w:ind w:firstLine="540"/>
        <w:jc w:val="both"/>
      </w:pPr>
    </w:p>
    <w:p w:rsidR="001825FD" w:rsidRDefault="001825FD">
      <w:pPr>
        <w:pStyle w:val="ConsPlusNormal"/>
        <w:ind w:firstLine="540"/>
        <w:jc w:val="both"/>
      </w:pPr>
      <w:r>
        <w:rPr>
          <w:noProof/>
          <w:position w:val="-17"/>
        </w:rPr>
        <w:drawing>
          <wp:inline distT="0" distB="0" distL="0" distR="0">
            <wp:extent cx="4587240" cy="3429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7240" cy="342900"/>
                    </a:xfrm>
                    <a:prstGeom prst="rect">
                      <a:avLst/>
                    </a:prstGeom>
                    <a:noFill/>
                    <a:ln>
                      <a:noFill/>
                    </a:ln>
                  </pic:spPr>
                </pic:pic>
              </a:graphicData>
            </a:graphic>
          </wp:inline>
        </w:drawing>
      </w:r>
      <w:r>
        <w:t xml:space="preserve"> (5)</w:t>
      </w:r>
    </w:p>
    <w:p w:rsidR="001825FD" w:rsidRDefault="001825FD">
      <w:pPr>
        <w:pStyle w:val="ConsPlusNormal"/>
        <w:jc w:val="both"/>
      </w:pPr>
    </w:p>
    <w:p w:rsidR="001825FD" w:rsidRDefault="001825FD">
      <w:pPr>
        <w:pStyle w:val="ConsPlusNormal"/>
        <w:ind w:firstLine="540"/>
        <w:jc w:val="both"/>
      </w:pPr>
      <w:r>
        <w:t>НП(</w:t>
      </w:r>
      <w:proofErr w:type="spellStart"/>
      <w:r>
        <w:t>НДФЛ</w:t>
      </w:r>
      <w:r>
        <w:rPr>
          <w:vertAlign w:val="subscript"/>
        </w:rPr>
        <w:t>i</w:t>
      </w:r>
      <w:proofErr w:type="spellEnd"/>
      <w:r>
        <w:t>) - налоговый потенциал i-</w:t>
      </w:r>
      <w:proofErr w:type="spellStart"/>
      <w:r>
        <w:t>го</w:t>
      </w:r>
      <w:proofErr w:type="spellEnd"/>
      <w:r>
        <w:t xml:space="preserve"> муниципального района (городского округа) по налогу на доходы физических лиц на очередной финансовый год (первый год планового периода, второй </w:t>
      </w:r>
      <w:r>
        <w:lastRenderedPageBreak/>
        <w:t>год планового периода);</w:t>
      </w:r>
    </w:p>
    <w:p w:rsidR="001825FD" w:rsidRDefault="001825FD">
      <w:pPr>
        <w:pStyle w:val="ConsPlusNormal"/>
        <w:spacing w:before="200"/>
        <w:ind w:firstLine="540"/>
        <w:jc w:val="both"/>
      </w:pPr>
      <w:proofErr w:type="spellStart"/>
      <w:r>
        <w:t>Пр</w:t>
      </w:r>
      <w:proofErr w:type="spellEnd"/>
      <w:r>
        <w:t>(НДФЛ) - прогноз доходов бюджетов муниципальных районов (городских округов) по налогу на доходы физических лиц (без учета доходов, которые могут быть получены по дополнительным нормативам отчислений, заменяющим дотации на выравнивание бюджетной обеспеченности муниципальных районов (городских округов) на очередной финансовый год (первый год планового периода, второй год планового периода)), составленный УФНС России по Ивановской области в соответствии с методикой прогнозирования поступлений доходов в консолидированный бюджет Ивановской области на очередной финансовый год и плановый период;</w:t>
      </w:r>
    </w:p>
    <w:p w:rsidR="001825FD" w:rsidRDefault="001825FD">
      <w:pPr>
        <w:pStyle w:val="ConsPlusNormal"/>
        <w:spacing w:before="200"/>
        <w:ind w:firstLine="540"/>
        <w:jc w:val="both"/>
      </w:pPr>
      <w:r>
        <w:t>НБ(</w:t>
      </w:r>
      <w:proofErr w:type="spellStart"/>
      <w:r>
        <w:t>НДФЛ</w:t>
      </w:r>
      <w:r>
        <w:rPr>
          <w:vertAlign w:val="subscript"/>
        </w:rPr>
        <w:t>i</w:t>
      </w:r>
      <w:proofErr w:type="spellEnd"/>
      <w:r>
        <w:t>) - общая сумма исчисленного налога на доходы физических лиц на территории i-</w:t>
      </w:r>
      <w:proofErr w:type="spellStart"/>
      <w:r>
        <w:t>го</w:t>
      </w:r>
      <w:proofErr w:type="spellEnd"/>
      <w:r>
        <w:t xml:space="preserve"> муниципального района (городского округа) за последний отчетный год в соответствии с отчетами о налоговой базе и структуре начислений по налогу, представляемыми УФНС России по Ивановской области;</w:t>
      </w:r>
    </w:p>
    <w:p w:rsidR="001825FD" w:rsidRDefault="001825FD">
      <w:pPr>
        <w:pStyle w:val="ConsPlusNormal"/>
        <w:spacing w:before="200"/>
        <w:ind w:firstLine="540"/>
        <w:jc w:val="both"/>
      </w:pPr>
      <w:proofErr w:type="spellStart"/>
      <w:r>
        <w:t>Кнп</w:t>
      </w:r>
      <w:r>
        <w:rPr>
          <w:vertAlign w:val="subscript"/>
        </w:rPr>
        <w:t>i</w:t>
      </w:r>
      <w:proofErr w:type="spellEnd"/>
      <w:r>
        <w:t xml:space="preserve"> - корректирующий коэффициент, применяемый при расчете налогового потенциала по налогу на доходы физических лиц на очередной финансовый год i-</w:t>
      </w:r>
      <w:proofErr w:type="spellStart"/>
      <w:r>
        <w:t>го</w:t>
      </w:r>
      <w:proofErr w:type="spellEnd"/>
      <w:r>
        <w:t xml:space="preserve"> муниципального района (городского округа).</w:t>
      </w:r>
    </w:p>
    <w:p w:rsidR="001825FD" w:rsidRDefault="001825FD">
      <w:pPr>
        <w:pStyle w:val="ConsPlusNormal"/>
        <w:spacing w:before="200"/>
        <w:ind w:firstLine="540"/>
        <w:jc w:val="both"/>
      </w:pPr>
      <w:r>
        <w:t xml:space="preserve">Корректирующий коэффициент применяется при расчете налогового потенциала по налогу на доходы физических лиц на очередной финансовый год в случае, если </w:t>
      </w:r>
      <w:proofErr w:type="spellStart"/>
      <w:r>
        <w:t>среднеобластной</w:t>
      </w:r>
      <w:proofErr w:type="spellEnd"/>
      <w:r>
        <w:t xml:space="preserve"> темп роста фактических доходов бюджетов муниципальных районов (городских округов) по налогу на доходы физических лиц (без учета налоговых доходов по дополнительным нормативам отчислений) за 7 месяцев текущего финансового года к аналогичному периоду отчетного года выше аналогичного показателя в муниципальном районе (городском округе) более чем на 15 процентов.</w:t>
      </w:r>
    </w:p>
    <w:p w:rsidR="001825FD" w:rsidRDefault="001825FD">
      <w:pPr>
        <w:pStyle w:val="ConsPlusNormal"/>
        <w:spacing w:before="200"/>
        <w:ind w:firstLine="540"/>
        <w:jc w:val="both"/>
      </w:pPr>
      <w:r>
        <w:t>Корректирующий коэффициент рассчитывается по следующей формуле:</w:t>
      </w:r>
    </w:p>
    <w:p w:rsidR="001825FD" w:rsidRDefault="001825FD">
      <w:pPr>
        <w:pStyle w:val="ConsPlusNormal"/>
        <w:ind w:firstLine="540"/>
        <w:jc w:val="both"/>
      </w:pPr>
    </w:p>
    <w:p w:rsidR="001825FD" w:rsidRDefault="001825FD">
      <w:pPr>
        <w:pStyle w:val="ConsPlusNormal"/>
        <w:ind w:firstLine="540"/>
        <w:jc w:val="both"/>
      </w:pPr>
      <w:proofErr w:type="spellStart"/>
      <w:r>
        <w:t>Кнп</w:t>
      </w:r>
      <w:r>
        <w:rPr>
          <w:vertAlign w:val="subscript"/>
        </w:rPr>
        <w:t>i</w:t>
      </w:r>
      <w:proofErr w:type="spellEnd"/>
      <w:r>
        <w:t xml:space="preserve"> = </w:t>
      </w:r>
      <w:proofErr w:type="spellStart"/>
      <w:r>
        <w:t>ТР</w:t>
      </w:r>
      <w:r>
        <w:rPr>
          <w:vertAlign w:val="subscript"/>
        </w:rPr>
        <w:t>i</w:t>
      </w:r>
      <w:proofErr w:type="spellEnd"/>
      <w:r>
        <w:t xml:space="preserve"> / ТР, где (6)</w:t>
      </w:r>
    </w:p>
    <w:p w:rsidR="001825FD" w:rsidRDefault="001825FD">
      <w:pPr>
        <w:pStyle w:val="ConsPlusNormal"/>
        <w:ind w:firstLine="540"/>
        <w:jc w:val="both"/>
      </w:pPr>
    </w:p>
    <w:p w:rsidR="001825FD" w:rsidRDefault="001825FD">
      <w:pPr>
        <w:pStyle w:val="ConsPlusNormal"/>
        <w:ind w:firstLine="540"/>
        <w:jc w:val="both"/>
      </w:pPr>
      <w:proofErr w:type="spellStart"/>
      <w:r>
        <w:t>Кнп</w:t>
      </w:r>
      <w:r>
        <w:rPr>
          <w:vertAlign w:val="subscript"/>
        </w:rPr>
        <w:t>i</w:t>
      </w:r>
      <w:proofErr w:type="spellEnd"/>
      <w:r>
        <w:t xml:space="preserve"> - корректирующий коэффициент, применяемый при расчете налогового потенциала по налогу на доходы физических лиц на очередной финансовый год i-</w:t>
      </w:r>
      <w:proofErr w:type="spellStart"/>
      <w:r>
        <w:t>го</w:t>
      </w:r>
      <w:proofErr w:type="spellEnd"/>
      <w:r>
        <w:t xml:space="preserve"> муниципального района (городского округа);</w:t>
      </w:r>
    </w:p>
    <w:p w:rsidR="001825FD" w:rsidRDefault="001825FD">
      <w:pPr>
        <w:pStyle w:val="ConsPlusNormal"/>
        <w:spacing w:before="200"/>
        <w:ind w:firstLine="540"/>
        <w:jc w:val="both"/>
      </w:pPr>
      <w:proofErr w:type="spellStart"/>
      <w:r>
        <w:t>ТР</w:t>
      </w:r>
      <w:r>
        <w:rPr>
          <w:vertAlign w:val="subscript"/>
        </w:rPr>
        <w:t>i</w:t>
      </w:r>
      <w:proofErr w:type="spellEnd"/>
      <w:r>
        <w:t xml:space="preserve"> - темп роста фактических доходов бюджета i-</w:t>
      </w:r>
      <w:proofErr w:type="spellStart"/>
      <w:r>
        <w:t>го</w:t>
      </w:r>
      <w:proofErr w:type="spellEnd"/>
      <w:r>
        <w:t xml:space="preserve"> муниципального района (городского округа) по налогу на доходы физических лиц за 7 месяцев текущего финансового года к аналогичному периоду отчетного года (без учета налоговых доходов по дополнительным нормативам отчислений);</w:t>
      </w:r>
    </w:p>
    <w:p w:rsidR="001825FD" w:rsidRDefault="001825FD">
      <w:pPr>
        <w:pStyle w:val="ConsPlusNormal"/>
        <w:spacing w:before="200"/>
        <w:ind w:firstLine="540"/>
        <w:jc w:val="both"/>
      </w:pPr>
      <w:r>
        <w:t xml:space="preserve">ТР - </w:t>
      </w:r>
      <w:proofErr w:type="spellStart"/>
      <w:r>
        <w:t>среднеобластной</w:t>
      </w:r>
      <w:proofErr w:type="spellEnd"/>
      <w:r>
        <w:t xml:space="preserve"> темп роста фактических доходов бюджетов муниципальных районов и городских округов по налогу на доходы физических лиц за 7 месяцев текущего финансового года к аналогичному периоду отчетного года (без учета налоговых доходов по дополнительным нормативам отчислений).</w:t>
      </w:r>
    </w:p>
    <w:p w:rsidR="001825FD" w:rsidRDefault="001825FD">
      <w:pPr>
        <w:pStyle w:val="ConsPlusNormal"/>
        <w:ind w:firstLine="540"/>
        <w:jc w:val="both"/>
      </w:pPr>
    </w:p>
    <w:p w:rsidR="001825FD" w:rsidRDefault="001825FD">
      <w:pPr>
        <w:pStyle w:val="ConsPlusNormal"/>
        <w:ind w:firstLine="540"/>
        <w:jc w:val="both"/>
      </w:pPr>
      <w:r>
        <w:rPr>
          <w:noProof/>
          <w:position w:val="-10"/>
        </w:rPr>
        <w:drawing>
          <wp:inline distT="0" distB="0" distL="0" distR="0">
            <wp:extent cx="3876675" cy="2571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6675" cy="257175"/>
                    </a:xfrm>
                    <a:prstGeom prst="rect">
                      <a:avLst/>
                    </a:prstGeom>
                    <a:noFill/>
                    <a:ln>
                      <a:noFill/>
                    </a:ln>
                  </pic:spPr>
                </pic:pic>
              </a:graphicData>
            </a:graphic>
          </wp:inline>
        </w:drawing>
      </w:r>
      <w:r>
        <w:t xml:space="preserve"> (7)</w:t>
      </w:r>
    </w:p>
    <w:p w:rsidR="001825FD" w:rsidRDefault="001825FD">
      <w:pPr>
        <w:pStyle w:val="ConsPlusNormal"/>
        <w:ind w:firstLine="540"/>
        <w:jc w:val="both"/>
      </w:pPr>
    </w:p>
    <w:p w:rsidR="001825FD" w:rsidRDefault="001825FD">
      <w:pPr>
        <w:pStyle w:val="ConsPlusNormal"/>
        <w:ind w:firstLine="540"/>
        <w:jc w:val="both"/>
      </w:pPr>
      <w:r>
        <w:t>НП(</w:t>
      </w:r>
      <w:proofErr w:type="spellStart"/>
      <w:r>
        <w:t>УСНО</w:t>
      </w:r>
      <w:r>
        <w:rPr>
          <w:vertAlign w:val="subscript"/>
        </w:rPr>
        <w:t>i</w:t>
      </w:r>
      <w:proofErr w:type="spellEnd"/>
      <w:r>
        <w:t>) - налоговый потенциал i-</w:t>
      </w:r>
      <w:proofErr w:type="spellStart"/>
      <w:r>
        <w:t>го</w:t>
      </w:r>
      <w:proofErr w:type="spellEnd"/>
      <w:r>
        <w:t xml:space="preserve"> муниципального района (городского округа) по налогу, взимаемому в связи с применением упрощенной системы налогообложения, на очередной финансовый год (первый год планового периода, второй год планового периода);</w:t>
      </w:r>
    </w:p>
    <w:p w:rsidR="001825FD" w:rsidRDefault="001825FD">
      <w:pPr>
        <w:pStyle w:val="ConsPlusNormal"/>
        <w:spacing w:before="200"/>
        <w:ind w:firstLine="540"/>
        <w:jc w:val="both"/>
      </w:pPr>
      <w:proofErr w:type="spellStart"/>
      <w:r>
        <w:t>Пр</w:t>
      </w:r>
      <w:proofErr w:type="spellEnd"/>
      <w:r>
        <w:t>(УСНО) - прогноз доходов по налогу, взимаемому в связи с применением упрощенной системы налогообложения, на очередной финансовый год (первый год планового периода, второй год планового периода), подлежащий распределению между муниципальными районами (городскими округами) по дифференцированным нормативам, рассчитанный на основании прогноза УФНС России по Ивановской области по налогу, взимаемому в связи с применением упрощенной системы налогообложения, в консолидированный бюджет Ивановской области в соответствии с методикой прогнозирования поступлений доходов в консолидированный бюджет Ивановской области на очередной финансовый год и плановый период;</w:t>
      </w:r>
    </w:p>
    <w:p w:rsidR="001825FD" w:rsidRDefault="001825FD">
      <w:pPr>
        <w:pStyle w:val="ConsPlusNormal"/>
        <w:spacing w:before="200"/>
        <w:ind w:firstLine="540"/>
        <w:jc w:val="both"/>
      </w:pPr>
      <w:r>
        <w:t>НБ(</w:t>
      </w:r>
      <w:proofErr w:type="spellStart"/>
      <w:r>
        <w:t>ЕНВД</w:t>
      </w:r>
      <w:r>
        <w:rPr>
          <w:vertAlign w:val="subscript"/>
        </w:rPr>
        <w:t>i</w:t>
      </w:r>
      <w:proofErr w:type="spellEnd"/>
      <w:r>
        <w:t>) - общая сумма исчисленного единого налога на вмененный доход для отдельных видов деятельности на территории i-</w:t>
      </w:r>
      <w:proofErr w:type="spellStart"/>
      <w:r>
        <w:t>го</w:t>
      </w:r>
      <w:proofErr w:type="spellEnd"/>
      <w:r>
        <w:t xml:space="preserve"> муниципального района (городского округа) за последний отчетный год в соответствии с отчетом о налоговой базе и структуре начислений по налогу, представляемому УФНС России по Ивановской области.</w:t>
      </w:r>
    </w:p>
    <w:p w:rsidR="001825FD" w:rsidRDefault="001825FD">
      <w:pPr>
        <w:pStyle w:val="ConsPlusNormal"/>
        <w:ind w:firstLine="540"/>
        <w:jc w:val="both"/>
      </w:pPr>
    </w:p>
    <w:p w:rsidR="001825FD" w:rsidRDefault="001825FD">
      <w:pPr>
        <w:pStyle w:val="ConsPlusNormal"/>
        <w:sectPr w:rsidR="001825FD" w:rsidSect="007779A3">
          <w:pgSz w:w="11906" w:h="16838"/>
          <w:pgMar w:top="1134" w:right="850" w:bottom="1134" w:left="1701" w:header="708" w:footer="708" w:gutter="0"/>
          <w:cols w:space="708"/>
          <w:docGrid w:linePitch="360"/>
        </w:sectPr>
      </w:pPr>
    </w:p>
    <w:p w:rsidR="001825FD" w:rsidRDefault="001825FD">
      <w:pPr>
        <w:pStyle w:val="ConsPlusNormal"/>
        <w:spacing w:before="260"/>
        <w:ind w:firstLine="540"/>
        <w:jc w:val="both"/>
      </w:pPr>
      <w:r>
        <w:rPr>
          <w:noProof/>
          <w:position w:val="-10"/>
        </w:rPr>
        <w:lastRenderedPageBreak/>
        <w:drawing>
          <wp:inline distT="0" distB="0" distL="0" distR="0">
            <wp:extent cx="7658100" cy="2571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100" cy="257175"/>
                    </a:xfrm>
                    <a:prstGeom prst="rect">
                      <a:avLst/>
                    </a:prstGeom>
                    <a:noFill/>
                    <a:ln>
                      <a:noFill/>
                    </a:ln>
                  </pic:spPr>
                </pic:pic>
              </a:graphicData>
            </a:graphic>
          </wp:inline>
        </w:drawing>
      </w:r>
      <w:r>
        <w:t xml:space="preserve"> (9);</w:t>
      </w:r>
    </w:p>
    <w:p w:rsidR="001825FD" w:rsidRDefault="001825FD">
      <w:pPr>
        <w:pStyle w:val="ConsPlusNormal"/>
        <w:sectPr w:rsidR="001825FD">
          <w:pgSz w:w="16838" w:h="11905" w:orient="landscape"/>
          <w:pgMar w:top="1701" w:right="1134" w:bottom="850" w:left="1134" w:header="0" w:footer="0" w:gutter="0"/>
          <w:cols w:space="720"/>
          <w:titlePg/>
        </w:sectPr>
      </w:pPr>
    </w:p>
    <w:p w:rsidR="001825FD" w:rsidRDefault="001825FD">
      <w:pPr>
        <w:pStyle w:val="ConsPlusNormal"/>
        <w:ind w:firstLine="540"/>
        <w:jc w:val="both"/>
      </w:pPr>
      <w:r>
        <w:lastRenderedPageBreak/>
        <w:t>НП(</w:t>
      </w:r>
      <w:proofErr w:type="spellStart"/>
      <w:r>
        <w:t>Пр</w:t>
      </w:r>
      <w:r>
        <w:rPr>
          <w:vertAlign w:val="subscript"/>
        </w:rPr>
        <w:t>i</w:t>
      </w:r>
      <w:proofErr w:type="spellEnd"/>
      <w:r>
        <w:t>) - налоговый потенциал i-</w:t>
      </w:r>
      <w:proofErr w:type="spellStart"/>
      <w:r>
        <w:t>го</w:t>
      </w:r>
      <w:proofErr w:type="spellEnd"/>
      <w:r>
        <w:t xml:space="preserve"> муниципального района (городского округа) по прочим видам налогов на очередной финансовый год (первый год планового периода, второй год планового периода). В числе прочих налогов учитываются единый сельскохозяйственный налог, налог, уплачиваемый в связи с применением патентной системы налогообложения, налог на добычу полезных ископаемых, государственная пошлина по делам, рассматриваемым судами общей юрисдикции, мировыми судьями (за исключением Верховного Суда Российской Федерации), а также задолженность и перерасчеты по отмененным налогам и сборам;</w:t>
      </w:r>
    </w:p>
    <w:p w:rsidR="001825FD" w:rsidRDefault="001825FD">
      <w:pPr>
        <w:pStyle w:val="ConsPlusNormal"/>
        <w:spacing w:before="200"/>
        <w:ind w:firstLine="540"/>
        <w:jc w:val="both"/>
      </w:pPr>
      <w:proofErr w:type="spellStart"/>
      <w:r>
        <w:t>Пр</w:t>
      </w:r>
      <w:proofErr w:type="spellEnd"/>
      <w:r>
        <w:t>(НД) - прогноз налоговых доходов бюджетов муниципальных районов (городских округов) на очередной финансовый год (первый год планового периода, второй год планового периода), составленный УФНС России по Ивановской области в соответствии с методикой прогнозирования поступлений доходов в консолидированный бюджет Ивановской области на очередной финансовый год и плановый период;</w:t>
      </w:r>
    </w:p>
    <w:p w:rsidR="001825FD" w:rsidRDefault="001825FD">
      <w:pPr>
        <w:pStyle w:val="ConsPlusNormal"/>
        <w:spacing w:before="200"/>
        <w:ind w:firstLine="540"/>
        <w:jc w:val="both"/>
      </w:pPr>
      <w:proofErr w:type="spellStart"/>
      <w:r>
        <w:t>Пр</w:t>
      </w:r>
      <w:proofErr w:type="spellEnd"/>
      <w:r>
        <w:t>(НДФЛ) - прогноз доходов бюджетов муниципальных районов (городских округов) по налогу на доходы физических лиц (без учета доходов, которые могут быть получены по дополнительным нормативам отчислений, заменяющим дотации на выравнивание бюджетной обеспеченности муниципальных районов (городских округов), на очередной финансовый год (первый год планового периода, второй год планового периода)), составленный УФНС России по Ивановской области в соответствии с методикой прогнозирования поступлений доходов в консолидированный бюджет Ивановской области на очередной финансовый год и плановый период;</w:t>
      </w:r>
    </w:p>
    <w:p w:rsidR="001825FD" w:rsidRDefault="001825FD">
      <w:pPr>
        <w:pStyle w:val="ConsPlusNormal"/>
        <w:spacing w:before="200"/>
        <w:ind w:firstLine="540"/>
        <w:jc w:val="both"/>
      </w:pPr>
      <w:proofErr w:type="spellStart"/>
      <w:r>
        <w:t>Пр</w:t>
      </w:r>
      <w:proofErr w:type="spellEnd"/>
      <w:r>
        <w:t>(УСНО) - прогноз доходов бюджетов муниципальных районов (городских округов) по налогу, взимаемому в связи с применением упрощенной системы налогообложения, на очередной финансовый год (первый год планового периода, второй год планового периода), составленный УФНС России по Ивановской области в соответствии с методикой прогнозирования поступлений доходов в консолидированный бюджет Ивановской области на очередной финансовый год и плановый период;</w:t>
      </w:r>
    </w:p>
    <w:p w:rsidR="001825FD" w:rsidRDefault="001825FD">
      <w:pPr>
        <w:pStyle w:val="ConsPlusNormal"/>
        <w:spacing w:before="200"/>
        <w:ind w:firstLine="540"/>
        <w:jc w:val="both"/>
      </w:pPr>
      <w:r>
        <w:t>НП(</w:t>
      </w:r>
      <w:proofErr w:type="spellStart"/>
      <w:r>
        <w:t>НДФЛ</w:t>
      </w:r>
      <w:r>
        <w:rPr>
          <w:vertAlign w:val="subscript"/>
        </w:rPr>
        <w:t>i</w:t>
      </w:r>
      <w:proofErr w:type="spellEnd"/>
      <w:r>
        <w:t>) - налоговый потенциал i-</w:t>
      </w:r>
      <w:proofErr w:type="spellStart"/>
      <w:r>
        <w:t>го</w:t>
      </w:r>
      <w:proofErr w:type="spellEnd"/>
      <w:r>
        <w:t xml:space="preserve"> муниципального района (городского округа) по налогу на доходы физических лиц на очередной финансовый год (первый год планового периода, второй год планового периода);</w:t>
      </w:r>
    </w:p>
    <w:p w:rsidR="001825FD" w:rsidRDefault="001825FD">
      <w:pPr>
        <w:pStyle w:val="ConsPlusNormal"/>
        <w:spacing w:before="200"/>
        <w:ind w:firstLine="540"/>
        <w:jc w:val="both"/>
      </w:pPr>
      <w:r>
        <w:t>НП(</w:t>
      </w:r>
      <w:proofErr w:type="spellStart"/>
      <w:r>
        <w:t>УСНО</w:t>
      </w:r>
      <w:r>
        <w:rPr>
          <w:vertAlign w:val="subscript"/>
        </w:rPr>
        <w:t>i</w:t>
      </w:r>
      <w:proofErr w:type="spellEnd"/>
      <w:r>
        <w:t>) - налоговый потенциал i-</w:t>
      </w:r>
      <w:proofErr w:type="spellStart"/>
      <w:r>
        <w:t>го</w:t>
      </w:r>
      <w:proofErr w:type="spellEnd"/>
      <w:r>
        <w:t xml:space="preserve"> муниципального района (городского округа) по налогу, взимаемому в связи с применением упрощенной системы налогообложения, на очередной финансовый год (первый год планового периода, второй год планового периода);</w:t>
      </w:r>
    </w:p>
    <w:p w:rsidR="001825FD" w:rsidRDefault="001825FD">
      <w:pPr>
        <w:pStyle w:val="ConsPlusNormal"/>
        <w:spacing w:before="200"/>
        <w:ind w:firstLine="540"/>
        <w:jc w:val="both"/>
      </w:pPr>
      <w:r>
        <w:t>При расчете налогового потенциала на первый и второй годы планового периода используются прогнозные данные по прогнозу общего объема налоговых доходов бюджетов муниципальных районов (городских округов) для соответствующих лет, составленные УФНС России по Ивановской области в соответствии с методикой прогнозирования поступлений доходов в консолидированный бюджет Ивановской области на очередной финансовый год и плановый период. В расчете индекса налогового потенциала на очередной финансовый год и плановый период используются единые отчетные данные.</w:t>
      </w:r>
    </w:p>
    <w:p w:rsidR="001825FD" w:rsidRDefault="001825FD">
      <w:pPr>
        <w:pStyle w:val="ConsPlusNormal"/>
        <w:spacing w:before="200"/>
        <w:ind w:firstLine="540"/>
        <w:jc w:val="both"/>
      </w:pPr>
      <w:r>
        <w:t xml:space="preserve">Индекс бюджетных расходов муниципальных районов (городских округов) рассчитывается по репрезентативной системе расходных обязательств, которая включает в себя основные виды расходных обязательств, связанных с решением вопросов местного значения. Указанные вопросы местного значения приведены в </w:t>
      </w:r>
      <w:hyperlink w:anchor="P153">
        <w:r>
          <w:rPr>
            <w:color w:val="0000FF"/>
          </w:rPr>
          <w:t>таблице</w:t>
        </w:r>
      </w:hyperlink>
      <w:r>
        <w:t xml:space="preserve"> к настоящему приложению.</w:t>
      </w:r>
    </w:p>
    <w:p w:rsidR="001825FD" w:rsidRDefault="001825FD">
      <w:pPr>
        <w:pStyle w:val="ConsPlusNormal"/>
        <w:spacing w:before="200"/>
        <w:ind w:firstLine="540"/>
        <w:jc w:val="both"/>
      </w:pPr>
      <w:r>
        <w:t>Индекс бюджетных расходов муниципальных районов (городских округов) рассчитывается по следующей формуле:</w:t>
      </w:r>
    </w:p>
    <w:p w:rsidR="001825FD" w:rsidRDefault="001825FD">
      <w:pPr>
        <w:pStyle w:val="ConsPlusNormal"/>
        <w:ind w:firstLine="540"/>
        <w:jc w:val="both"/>
      </w:pPr>
    </w:p>
    <w:p w:rsidR="001825FD" w:rsidRDefault="001825FD">
      <w:pPr>
        <w:pStyle w:val="ConsPlusNormal"/>
        <w:ind w:firstLine="540"/>
        <w:jc w:val="both"/>
      </w:pPr>
      <w:r>
        <w:rPr>
          <w:noProof/>
          <w:position w:val="-17"/>
        </w:rPr>
        <w:drawing>
          <wp:inline distT="0" distB="0" distL="0" distR="0">
            <wp:extent cx="1729740" cy="3429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740" cy="342900"/>
                    </a:xfrm>
                    <a:prstGeom prst="rect">
                      <a:avLst/>
                    </a:prstGeom>
                    <a:noFill/>
                    <a:ln>
                      <a:noFill/>
                    </a:ln>
                  </pic:spPr>
                </pic:pic>
              </a:graphicData>
            </a:graphic>
          </wp:inline>
        </w:drawing>
      </w:r>
      <w:r>
        <w:t xml:space="preserve"> (10)</w:t>
      </w:r>
    </w:p>
    <w:p w:rsidR="001825FD" w:rsidRDefault="001825FD">
      <w:pPr>
        <w:pStyle w:val="ConsPlusNormal"/>
        <w:ind w:firstLine="540"/>
        <w:jc w:val="both"/>
      </w:pPr>
    </w:p>
    <w:p w:rsidR="001825FD" w:rsidRDefault="001825FD">
      <w:pPr>
        <w:pStyle w:val="ConsPlusNormal"/>
        <w:ind w:firstLine="540"/>
        <w:jc w:val="both"/>
      </w:pPr>
      <w:proofErr w:type="spellStart"/>
      <w:r>
        <w:t>ИБР</w:t>
      </w:r>
      <w:r>
        <w:rPr>
          <w:vertAlign w:val="subscript"/>
        </w:rPr>
        <w:t>i</w:t>
      </w:r>
      <w:proofErr w:type="spellEnd"/>
      <w:r>
        <w:t xml:space="preserve"> - индекс бюджетных расходов i-</w:t>
      </w:r>
      <w:proofErr w:type="spellStart"/>
      <w:r>
        <w:t>го</w:t>
      </w:r>
      <w:proofErr w:type="spellEnd"/>
      <w:r>
        <w:t xml:space="preserve"> муниципального района (городского округа);</w:t>
      </w:r>
    </w:p>
    <w:p w:rsidR="001825FD" w:rsidRDefault="001825FD">
      <w:pPr>
        <w:pStyle w:val="ConsPlusNormal"/>
        <w:spacing w:before="200"/>
        <w:ind w:firstLine="540"/>
        <w:jc w:val="both"/>
      </w:pPr>
      <w:proofErr w:type="spellStart"/>
      <w:r>
        <w:t>а</w:t>
      </w:r>
      <w:r>
        <w:rPr>
          <w:vertAlign w:val="subscript"/>
        </w:rPr>
        <w:t>j</w:t>
      </w:r>
      <w:proofErr w:type="spellEnd"/>
      <w:r>
        <w:t xml:space="preserve"> - доля j-</w:t>
      </w:r>
      <w:proofErr w:type="spellStart"/>
      <w:r>
        <w:t>го</w:t>
      </w:r>
      <w:proofErr w:type="spellEnd"/>
      <w:r>
        <w:t xml:space="preserve"> вида расходов в составе репрезентативной системы расходных обязательств, приведенных в </w:t>
      </w:r>
      <w:hyperlink w:anchor="P153">
        <w:r>
          <w:rPr>
            <w:color w:val="0000FF"/>
          </w:rPr>
          <w:t>таблице</w:t>
        </w:r>
      </w:hyperlink>
      <w:r>
        <w:t xml:space="preserve"> к настоящему приложению;</w:t>
      </w:r>
    </w:p>
    <w:p w:rsidR="001825FD" w:rsidRDefault="001825FD">
      <w:pPr>
        <w:pStyle w:val="ConsPlusNormal"/>
        <w:spacing w:before="200"/>
        <w:ind w:firstLine="540"/>
        <w:jc w:val="both"/>
      </w:pPr>
      <w:proofErr w:type="spellStart"/>
      <w:r>
        <w:t>ИБР</w:t>
      </w:r>
      <w:r>
        <w:rPr>
          <w:vertAlign w:val="subscript"/>
        </w:rPr>
        <w:t>ij</w:t>
      </w:r>
      <w:proofErr w:type="spellEnd"/>
      <w:r>
        <w:t xml:space="preserve"> - индекс бюджетных расходов i-</w:t>
      </w:r>
      <w:proofErr w:type="spellStart"/>
      <w:r>
        <w:t>го</w:t>
      </w:r>
      <w:proofErr w:type="spellEnd"/>
      <w:r>
        <w:t xml:space="preserve"> муниципального района (городского округа) по j-</w:t>
      </w:r>
      <w:proofErr w:type="spellStart"/>
      <w:r>
        <w:t>му</w:t>
      </w:r>
      <w:proofErr w:type="spellEnd"/>
      <w:r>
        <w:t xml:space="preserve"> виду расходов репрезентативной системы расходных обязательств.</w:t>
      </w:r>
    </w:p>
    <w:p w:rsidR="001825FD" w:rsidRDefault="001825FD">
      <w:pPr>
        <w:pStyle w:val="ConsPlusNormal"/>
        <w:spacing w:before="200"/>
        <w:ind w:firstLine="540"/>
        <w:jc w:val="both"/>
      </w:pPr>
      <w:r>
        <w:lastRenderedPageBreak/>
        <w:t>Индекс бюджетных расходов i-</w:t>
      </w:r>
      <w:proofErr w:type="spellStart"/>
      <w:r>
        <w:t>го</w:t>
      </w:r>
      <w:proofErr w:type="spellEnd"/>
      <w:r>
        <w:t xml:space="preserve"> муниципального района (городского округа) по отдельному виду расходов репрезентативной системы расходных обязательств рассчитывается по формуле:</w:t>
      </w:r>
    </w:p>
    <w:p w:rsidR="001825FD" w:rsidRDefault="001825FD">
      <w:pPr>
        <w:pStyle w:val="ConsPlusNormal"/>
        <w:ind w:firstLine="540"/>
        <w:jc w:val="both"/>
      </w:pPr>
    </w:p>
    <w:p w:rsidR="001825FD" w:rsidRDefault="001825FD">
      <w:pPr>
        <w:pStyle w:val="ConsPlusNormal"/>
        <w:ind w:firstLine="540"/>
        <w:jc w:val="both"/>
      </w:pPr>
      <w:r>
        <w:rPr>
          <w:noProof/>
          <w:position w:val="-42"/>
        </w:rPr>
        <w:drawing>
          <wp:inline distT="0" distB="0" distL="0" distR="0">
            <wp:extent cx="3604260" cy="6629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4260" cy="662940"/>
                    </a:xfrm>
                    <a:prstGeom prst="rect">
                      <a:avLst/>
                    </a:prstGeom>
                    <a:noFill/>
                    <a:ln>
                      <a:noFill/>
                    </a:ln>
                  </pic:spPr>
                </pic:pic>
              </a:graphicData>
            </a:graphic>
          </wp:inline>
        </w:drawing>
      </w:r>
      <w:r>
        <w:t xml:space="preserve"> (11)</w:t>
      </w:r>
    </w:p>
    <w:p w:rsidR="001825FD" w:rsidRDefault="001825FD">
      <w:pPr>
        <w:pStyle w:val="ConsPlusNormal"/>
        <w:ind w:firstLine="540"/>
        <w:jc w:val="both"/>
      </w:pPr>
    </w:p>
    <w:p w:rsidR="001825FD" w:rsidRDefault="001825FD">
      <w:pPr>
        <w:pStyle w:val="ConsPlusNormal"/>
        <w:ind w:firstLine="540"/>
        <w:jc w:val="both"/>
      </w:pPr>
      <w:proofErr w:type="spellStart"/>
      <w:r>
        <w:t>ИБР</w:t>
      </w:r>
      <w:r>
        <w:rPr>
          <w:vertAlign w:val="subscript"/>
        </w:rPr>
        <w:t>ij</w:t>
      </w:r>
      <w:proofErr w:type="spellEnd"/>
      <w:r>
        <w:t xml:space="preserve"> - индекс бюджетных расходов i-</w:t>
      </w:r>
      <w:proofErr w:type="spellStart"/>
      <w:r>
        <w:t>го</w:t>
      </w:r>
      <w:proofErr w:type="spellEnd"/>
      <w:r>
        <w:t xml:space="preserve"> муниципального района (городского округа) по j-</w:t>
      </w:r>
      <w:proofErr w:type="spellStart"/>
      <w:r>
        <w:t>му</w:t>
      </w:r>
      <w:proofErr w:type="spellEnd"/>
      <w:r>
        <w:t xml:space="preserve"> виду расходов репрезентативной системы расходных обязательств;</w:t>
      </w:r>
    </w:p>
    <w:p w:rsidR="001825FD" w:rsidRDefault="001825FD">
      <w:pPr>
        <w:pStyle w:val="ConsPlusNormal"/>
        <w:spacing w:before="200"/>
        <w:ind w:firstLine="540"/>
        <w:jc w:val="both"/>
      </w:pPr>
      <w:proofErr w:type="spellStart"/>
      <w:r>
        <w:t>П</w:t>
      </w:r>
      <w:r>
        <w:rPr>
          <w:vertAlign w:val="subscript"/>
        </w:rPr>
        <w:t>ij</w:t>
      </w:r>
      <w:proofErr w:type="spellEnd"/>
      <w:r>
        <w:t xml:space="preserve"> - численность условных потребителей муниципальных услуг i-</w:t>
      </w:r>
      <w:proofErr w:type="spellStart"/>
      <w:r>
        <w:t>го</w:t>
      </w:r>
      <w:proofErr w:type="spellEnd"/>
      <w:r>
        <w:t xml:space="preserve"> муниципального района (городского округа) по j-</w:t>
      </w:r>
      <w:proofErr w:type="spellStart"/>
      <w:r>
        <w:t>му</w:t>
      </w:r>
      <w:proofErr w:type="spellEnd"/>
      <w:r>
        <w:t xml:space="preserve"> виду расходов, входящему в состав репрезентативной системы расходных обязательств, согласно </w:t>
      </w:r>
      <w:hyperlink w:anchor="P153">
        <w:r>
          <w:rPr>
            <w:color w:val="0000FF"/>
          </w:rPr>
          <w:t>таблице</w:t>
        </w:r>
      </w:hyperlink>
      <w:r>
        <w:t xml:space="preserve"> к настоящему приложению по данным за отчетный год;</w:t>
      </w:r>
    </w:p>
    <w:p w:rsidR="001825FD" w:rsidRDefault="001825FD">
      <w:pPr>
        <w:pStyle w:val="ConsPlusNormal"/>
        <w:spacing w:before="200"/>
        <w:ind w:firstLine="540"/>
        <w:jc w:val="both"/>
      </w:pPr>
      <w:proofErr w:type="spellStart"/>
      <w:r>
        <w:t>N</w:t>
      </w:r>
      <w:r>
        <w:rPr>
          <w:vertAlign w:val="subscript"/>
        </w:rPr>
        <w:t>i</w:t>
      </w:r>
      <w:proofErr w:type="spellEnd"/>
      <w:r>
        <w:t xml:space="preserve"> - численность постоянного населения i-</w:t>
      </w:r>
      <w:proofErr w:type="spellStart"/>
      <w:r>
        <w:t>го</w:t>
      </w:r>
      <w:proofErr w:type="spellEnd"/>
      <w:r>
        <w:t xml:space="preserve"> муниципального района (городского округа) по данным Территориального органа Федеральной службы государственной статистики по Ивановской области;</w:t>
      </w:r>
    </w:p>
    <w:p w:rsidR="001825FD" w:rsidRDefault="001825FD">
      <w:pPr>
        <w:pStyle w:val="ConsPlusNormal"/>
        <w:spacing w:before="200"/>
        <w:ind w:firstLine="540"/>
        <w:jc w:val="both"/>
      </w:pPr>
      <w:r>
        <w:t>k1</w:t>
      </w:r>
      <w:r>
        <w:rPr>
          <w:vertAlign w:val="subscript"/>
        </w:rPr>
        <w:t>ij</w:t>
      </w:r>
      <w:r>
        <w:t xml:space="preserve">..., </w:t>
      </w:r>
      <w:proofErr w:type="spellStart"/>
      <w:r>
        <w:t>kn</w:t>
      </w:r>
      <w:r>
        <w:rPr>
          <w:vertAlign w:val="subscript"/>
        </w:rPr>
        <w:t>ij</w:t>
      </w:r>
      <w:proofErr w:type="spellEnd"/>
      <w:r>
        <w:t xml:space="preserve"> - коэффициенты удорожания стоимости предоставления муниципальных услуг, отражающие факторы, влияющие на стоимость и объем предоставления муниципальных услуг по j-</w:t>
      </w:r>
      <w:proofErr w:type="spellStart"/>
      <w:r>
        <w:t>му</w:t>
      </w:r>
      <w:proofErr w:type="spellEnd"/>
      <w:r>
        <w:t xml:space="preserve"> виду расходов, входящему в состав репрезентативной системы расходных обязательств, в расчете на одного потребителя муниципальных услуг в i-м муниципальном районе (городском округе).</w:t>
      </w:r>
    </w:p>
    <w:p w:rsidR="001825FD" w:rsidRDefault="001825FD">
      <w:pPr>
        <w:pStyle w:val="ConsPlusNormal"/>
        <w:spacing w:before="200"/>
        <w:ind w:firstLine="540"/>
        <w:jc w:val="both"/>
      </w:pPr>
      <w:r>
        <w:t>В методике используются следующие коэффициенты удорожания стоимости предоставления муниципальных услуг:</w:t>
      </w:r>
    </w:p>
    <w:p w:rsidR="001825FD" w:rsidRDefault="001825FD">
      <w:pPr>
        <w:pStyle w:val="ConsPlusNormal"/>
        <w:spacing w:before="200"/>
        <w:ind w:firstLine="540"/>
        <w:jc w:val="both"/>
      </w:pPr>
      <w:r>
        <w:t>1) коэффициент расселения населения:</w:t>
      </w:r>
    </w:p>
    <w:p w:rsidR="001825FD" w:rsidRDefault="001825FD">
      <w:pPr>
        <w:pStyle w:val="ConsPlusNormal"/>
        <w:ind w:firstLine="540"/>
        <w:jc w:val="both"/>
      </w:pPr>
    </w:p>
    <w:p w:rsidR="001825FD" w:rsidRDefault="001825FD">
      <w:pPr>
        <w:pStyle w:val="ConsPlusNormal"/>
        <w:ind w:firstLine="540"/>
        <w:jc w:val="both"/>
      </w:pPr>
      <w:r>
        <w:rPr>
          <w:noProof/>
          <w:position w:val="-24"/>
        </w:rPr>
        <w:drawing>
          <wp:inline distT="0" distB="0" distL="0" distR="0">
            <wp:extent cx="1165860" cy="4343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5860" cy="434340"/>
                    </a:xfrm>
                    <a:prstGeom prst="rect">
                      <a:avLst/>
                    </a:prstGeom>
                    <a:noFill/>
                    <a:ln>
                      <a:noFill/>
                    </a:ln>
                  </pic:spPr>
                </pic:pic>
              </a:graphicData>
            </a:graphic>
          </wp:inline>
        </w:drawing>
      </w:r>
      <w:r>
        <w:t xml:space="preserve"> (12)</w:t>
      </w:r>
    </w:p>
    <w:p w:rsidR="001825FD" w:rsidRDefault="001825FD">
      <w:pPr>
        <w:pStyle w:val="ConsPlusNormal"/>
        <w:jc w:val="both"/>
      </w:pPr>
      <w:r>
        <w:t xml:space="preserve">(в ред. </w:t>
      </w:r>
      <w:hyperlink r:id="rId13">
        <w:r>
          <w:rPr>
            <w:color w:val="0000FF"/>
          </w:rPr>
          <w:t>Закона</w:t>
        </w:r>
      </w:hyperlink>
      <w:r>
        <w:t xml:space="preserve"> Ивановской области от 23.12.2020 N 87-ОЗ)</w:t>
      </w:r>
    </w:p>
    <w:p w:rsidR="001825FD" w:rsidRDefault="001825FD">
      <w:pPr>
        <w:pStyle w:val="ConsPlusNormal"/>
        <w:ind w:firstLine="540"/>
        <w:jc w:val="both"/>
      </w:pPr>
    </w:p>
    <w:p w:rsidR="001825FD" w:rsidRDefault="001825FD">
      <w:pPr>
        <w:pStyle w:val="ConsPlusNormal"/>
        <w:ind w:firstLine="540"/>
        <w:jc w:val="both"/>
      </w:pPr>
      <w:proofErr w:type="spellStart"/>
      <w:r>
        <w:t>Кр</w:t>
      </w:r>
      <w:r>
        <w:rPr>
          <w:vertAlign w:val="subscript"/>
        </w:rPr>
        <w:t>i</w:t>
      </w:r>
      <w:proofErr w:type="spellEnd"/>
      <w:r>
        <w:t xml:space="preserve"> - коэффициент расселения населения в i-м муниципальном районе (городском округе);</w:t>
      </w:r>
    </w:p>
    <w:p w:rsidR="001825FD" w:rsidRDefault="001825FD">
      <w:pPr>
        <w:pStyle w:val="ConsPlusNormal"/>
        <w:spacing w:before="200"/>
        <w:ind w:firstLine="540"/>
        <w:jc w:val="both"/>
      </w:pPr>
      <w:proofErr w:type="spellStart"/>
      <w:r>
        <w:t>УВ</w:t>
      </w:r>
      <w:r>
        <w:rPr>
          <w:vertAlign w:val="subscript"/>
        </w:rPr>
        <w:t>i</w:t>
      </w:r>
      <w:proofErr w:type="spellEnd"/>
      <w:r>
        <w:t xml:space="preserve"> - удельный вес постоянного населения i-</w:t>
      </w:r>
      <w:proofErr w:type="spellStart"/>
      <w:r>
        <w:t>го</w:t>
      </w:r>
      <w:proofErr w:type="spellEnd"/>
      <w:r>
        <w:t xml:space="preserve"> муниципального района (городского округа), проживающего в сельских населенных пунктах с численностью населения менее 500 человек, по данным Территориального органа Федеральной службы государственной статистики по Ивановской области;</w:t>
      </w:r>
    </w:p>
    <w:p w:rsidR="001825FD" w:rsidRDefault="001825FD">
      <w:pPr>
        <w:pStyle w:val="ConsPlusNormal"/>
        <w:spacing w:before="200"/>
        <w:ind w:firstLine="540"/>
        <w:jc w:val="both"/>
      </w:pPr>
      <w:r>
        <w:t>УВ - удельный вес постоянного населения Ивановской области, проживающего в сельских населенных пунктах с численностью населения менее 500 человек, по данным Территориального органа Федеральной службы государственной статистики по Ивановской области;</w:t>
      </w:r>
    </w:p>
    <w:p w:rsidR="001825FD" w:rsidRDefault="001825FD">
      <w:pPr>
        <w:pStyle w:val="ConsPlusNormal"/>
        <w:spacing w:before="200"/>
        <w:ind w:firstLine="540"/>
        <w:jc w:val="both"/>
      </w:pPr>
      <w:r>
        <w:t>2) коэффициент уровня урбанизации:</w:t>
      </w:r>
    </w:p>
    <w:p w:rsidR="001825FD" w:rsidRDefault="001825FD">
      <w:pPr>
        <w:pStyle w:val="ConsPlusNormal"/>
        <w:ind w:firstLine="540"/>
        <w:jc w:val="both"/>
      </w:pPr>
    </w:p>
    <w:p w:rsidR="001825FD" w:rsidRDefault="001825FD">
      <w:pPr>
        <w:pStyle w:val="ConsPlusNormal"/>
        <w:ind w:firstLine="540"/>
        <w:jc w:val="both"/>
      </w:pPr>
      <w:r>
        <w:rPr>
          <w:noProof/>
          <w:position w:val="-24"/>
        </w:rPr>
        <w:drawing>
          <wp:inline distT="0" distB="0" distL="0" distR="0">
            <wp:extent cx="1272540" cy="4343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2540" cy="434340"/>
                    </a:xfrm>
                    <a:prstGeom prst="rect">
                      <a:avLst/>
                    </a:prstGeom>
                    <a:noFill/>
                    <a:ln>
                      <a:noFill/>
                    </a:ln>
                  </pic:spPr>
                </pic:pic>
              </a:graphicData>
            </a:graphic>
          </wp:inline>
        </w:drawing>
      </w:r>
      <w:r>
        <w:t xml:space="preserve"> (13)</w:t>
      </w:r>
    </w:p>
    <w:p w:rsidR="001825FD" w:rsidRDefault="001825FD">
      <w:pPr>
        <w:pStyle w:val="ConsPlusNormal"/>
        <w:jc w:val="both"/>
      </w:pPr>
      <w:r>
        <w:t xml:space="preserve">(в ред. </w:t>
      </w:r>
      <w:hyperlink r:id="rId15">
        <w:r>
          <w:rPr>
            <w:color w:val="0000FF"/>
          </w:rPr>
          <w:t>Закона</w:t>
        </w:r>
      </w:hyperlink>
      <w:r>
        <w:t xml:space="preserve"> Ивановской области от 23.12.2020 N 87-ОЗ)</w:t>
      </w:r>
    </w:p>
    <w:p w:rsidR="001825FD" w:rsidRDefault="001825FD">
      <w:pPr>
        <w:pStyle w:val="ConsPlusNormal"/>
        <w:ind w:firstLine="540"/>
        <w:jc w:val="both"/>
      </w:pPr>
    </w:p>
    <w:p w:rsidR="001825FD" w:rsidRDefault="001825FD">
      <w:pPr>
        <w:pStyle w:val="ConsPlusNormal"/>
        <w:ind w:firstLine="540"/>
        <w:jc w:val="both"/>
      </w:pPr>
      <w:proofErr w:type="spellStart"/>
      <w:r>
        <w:t>Ку</w:t>
      </w:r>
      <w:r>
        <w:rPr>
          <w:vertAlign w:val="subscript"/>
        </w:rPr>
        <w:t>i</w:t>
      </w:r>
      <w:proofErr w:type="spellEnd"/>
      <w:r>
        <w:t xml:space="preserve"> - коэффициент уровня урбанизации населения i-</w:t>
      </w:r>
      <w:proofErr w:type="spellStart"/>
      <w:r>
        <w:t>го</w:t>
      </w:r>
      <w:proofErr w:type="spellEnd"/>
      <w:r>
        <w:t xml:space="preserve"> муниципального района (городского округа);</w:t>
      </w:r>
    </w:p>
    <w:p w:rsidR="001825FD" w:rsidRDefault="001825FD">
      <w:pPr>
        <w:pStyle w:val="ConsPlusNormal"/>
        <w:spacing w:before="200"/>
        <w:ind w:firstLine="540"/>
        <w:jc w:val="both"/>
      </w:pPr>
      <w:proofErr w:type="spellStart"/>
      <w:r>
        <w:t>УВГ</w:t>
      </w:r>
      <w:r>
        <w:rPr>
          <w:vertAlign w:val="subscript"/>
        </w:rPr>
        <w:t>i</w:t>
      </w:r>
      <w:proofErr w:type="spellEnd"/>
      <w:r>
        <w:t xml:space="preserve"> - удельный вес городского населения i-</w:t>
      </w:r>
      <w:proofErr w:type="spellStart"/>
      <w:r>
        <w:t>го</w:t>
      </w:r>
      <w:proofErr w:type="spellEnd"/>
      <w:r>
        <w:t xml:space="preserve"> муниципального района (городского округа) по данным Территориального органа Федеральной службы государственной статистики по Ивановской области;</w:t>
      </w:r>
    </w:p>
    <w:p w:rsidR="001825FD" w:rsidRDefault="001825FD">
      <w:pPr>
        <w:pStyle w:val="ConsPlusNormal"/>
        <w:spacing w:before="200"/>
        <w:ind w:firstLine="540"/>
        <w:jc w:val="both"/>
      </w:pPr>
      <w:r>
        <w:t>УВГ - удельный вес городского населения Ивановской области по данным Территориального органа Федеральной службы государственной статистики по Ивановской области;</w:t>
      </w:r>
    </w:p>
    <w:p w:rsidR="001825FD" w:rsidRDefault="001825FD">
      <w:pPr>
        <w:pStyle w:val="ConsPlusNormal"/>
        <w:spacing w:before="200"/>
        <w:ind w:firstLine="540"/>
        <w:jc w:val="both"/>
      </w:pPr>
      <w:r>
        <w:t>3) коэффициент стоимости предоставления коммунальных услуг:</w:t>
      </w:r>
    </w:p>
    <w:p w:rsidR="001825FD" w:rsidRDefault="001825FD">
      <w:pPr>
        <w:pStyle w:val="ConsPlusNormal"/>
        <w:ind w:firstLine="540"/>
        <w:jc w:val="both"/>
      </w:pPr>
    </w:p>
    <w:p w:rsidR="001825FD" w:rsidRDefault="001825FD">
      <w:pPr>
        <w:pStyle w:val="ConsPlusNormal"/>
        <w:ind w:firstLine="540"/>
        <w:jc w:val="both"/>
      </w:pPr>
      <w:r>
        <w:rPr>
          <w:noProof/>
          <w:position w:val="-21"/>
        </w:rPr>
        <w:drawing>
          <wp:inline distT="0" distB="0" distL="0" distR="0">
            <wp:extent cx="1851660" cy="3962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1660" cy="396240"/>
                    </a:xfrm>
                    <a:prstGeom prst="rect">
                      <a:avLst/>
                    </a:prstGeom>
                    <a:noFill/>
                    <a:ln>
                      <a:noFill/>
                    </a:ln>
                  </pic:spPr>
                </pic:pic>
              </a:graphicData>
            </a:graphic>
          </wp:inline>
        </w:drawing>
      </w:r>
      <w:r>
        <w:t xml:space="preserve"> (14)</w:t>
      </w:r>
    </w:p>
    <w:p w:rsidR="001825FD" w:rsidRDefault="001825FD">
      <w:pPr>
        <w:pStyle w:val="ConsPlusNormal"/>
        <w:ind w:firstLine="540"/>
        <w:jc w:val="both"/>
      </w:pPr>
    </w:p>
    <w:p w:rsidR="001825FD" w:rsidRDefault="001825FD">
      <w:pPr>
        <w:pStyle w:val="ConsPlusNormal"/>
        <w:ind w:firstLine="540"/>
        <w:jc w:val="both"/>
      </w:pPr>
      <w:proofErr w:type="spellStart"/>
      <w:r>
        <w:t>Кку</w:t>
      </w:r>
      <w:r>
        <w:rPr>
          <w:vertAlign w:val="subscript"/>
        </w:rPr>
        <w:t>i</w:t>
      </w:r>
      <w:proofErr w:type="spellEnd"/>
      <w:r>
        <w:t xml:space="preserve"> - коэффициент стоимости предоставления коммунальных услуг в i-м муниципальном районе (городском округе);</w:t>
      </w:r>
    </w:p>
    <w:p w:rsidR="001825FD" w:rsidRDefault="001825FD">
      <w:pPr>
        <w:pStyle w:val="ConsPlusNormal"/>
        <w:spacing w:before="200"/>
        <w:ind w:firstLine="540"/>
        <w:jc w:val="both"/>
      </w:pPr>
      <w:proofErr w:type="spellStart"/>
      <w:r>
        <w:t>СТЭ</w:t>
      </w:r>
      <w:r>
        <w:rPr>
          <w:vertAlign w:val="subscript"/>
        </w:rPr>
        <w:t>i</w:t>
      </w:r>
      <w:proofErr w:type="spellEnd"/>
      <w:r>
        <w:t xml:space="preserve"> - средний по муниципальному району (городскому округу) тариф на тепловую энергию в теплоносителе "горячая вода" по данным Департамента энергетики и тарифов Ивановской области;</w:t>
      </w:r>
    </w:p>
    <w:p w:rsidR="001825FD" w:rsidRDefault="001825FD">
      <w:pPr>
        <w:pStyle w:val="ConsPlusNormal"/>
        <w:spacing w:before="200"/>
        <w:ind w:firstLine="540"/>
        <w:jc w:val="both"/>
      </w:pPr>
      <w:r>
        <w:t>СТЭ - средний по Ивановской области тариф на тепловую энергию в теплоносителе "горячая вода" по данным Департамента энергетики и тарифов Ивановской области.</w:t>
      </w:r>
    </w:p>
    <w:p w:rsidR="001825FD" w:rsidRDefault="001825FD">
      <w:pPr>
        <w:pStyle w:val="ConsPlusNormal"/>
        <w:ind w:firstLine="540"/>
        <w:jc w:val="both"/>
      </w:pPr>
    </w:p>
    <w:p w:rsidR="001825FD" w:rsidRDefault="001825FD">
      <w:pPr>
        <w:pStyle w:val="ConsPlusNormal"/>
        <w:jc w:val="right"/>
      </w:pPr>
      <w:r>
        <w:t>Таблица</w:t>
      </w:r>
    </w:p>
    <w:p w:rsidR="001825FD" w:rsidRDefault="001825FD">
      <w:pPr>
        <w:pStyle w:val="ConsPlusNormal"/>
        <w:jc w:val="right"/>
      </w:pPr>
    </w:p>
    <w:p w:rsidR="001825FD" w:rsidRDefault="001825FD">
      <w:pPr>
        <w:pStyle w:val="ConsPlusNormal"/>
        <w:jc w:val="center"/>
      </w:pPr>
      <w:bookmarkStart w:id="1" w:name="P153"/>
      <w:bookmarkEnd w:id="1"/>
      <w:r>
        <w:t>Вопросы местного значения, определяющие структуру</w:t>
      </w:r>
    </w:p>
    <w:p w:rsidR="001825FD" w:rsidRDefault="001825FD">
      <w:pPr>
        <w:pStyle w:val="ConsPlusNormal"/>
        <w:jc w:val="center"/>
      </w:pPr>
      <w:r>
        <w:t>репрезентативной системы расходных обязательств</w:t>
      </w:r>
    </w:p>
    <w:p w:rsidR="001825FD" w:rsidRDefault="001825FD">
      <w:pPr>
        <w:pStyle w:val="ConsPlusNormal"/>
        <w:jc w:val="center"/>
      </w:pPr>
      <w:r>
        <w:t>муниципальных районов (городских округов), и показатели</w:t>
      </w:r>
    </w:p>
    <w:p w:rsidR="001825FD" w:rsidRDefault="001825FD">
      <w:pPr>
        <w:pStyle w:val="ConsPlusNormal"/>
        <w:jc w:val="center"/>
      </w:pPr>
      <w:r>
        <w:t>для расчета их индекса бюджетных расходов</w:t>
      </w:r>
    </w:p>
    <w:p w:rsidR="001825FD" w:rsidRDefault="001825F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984"/>
        <w:gridCol w:w="1531"/>
        <w:gridCol w:w="1871"/>
        <w:gridCol w:w="1247"/>
      </w:tblGrid>
      <w:tr w:rsidR="001825FD">
        <w:tc>
          <w:tcPr>
            <w:tcW w:w="2438" w:type="dxa"/>
          </w:tcPr>
          <w:p w:rsidR="001825FD" w:rsidRDefault="001825FD">
            <w:pPr>
              <w:pStyle w:val="ConsPlusNormal"/>
              <w:jc w:val="center"/>
            </w:pPr>
            <w:r>
              <w:t>Вопросы местного значения</w:t>
            </w:r>
          </w:p>
        </w:tc>
        <w:tc>
          <w:tcPr>
            <w:tcW w:w="1984" w:type="dxa"/>
          </w:tcPr>
          <w:p w:rsidR="001825FD" w:rsidRDefault="001825FD">
            <w:pPr>
              <w:pStyle w:val="ConsPlusNormal"/>
              <w:jc w:val="center"/>
            </w:pPr>
            <w:r>
              <w:t>Категории условных потребителей муниципальных услуг</w:t>
            </w:r>
          </w:p>
        </w:tc>
        <w:tc>
          <w:tcPr>
            <w:tcW w:w="1531" w:type="dxa"/>
          </w:tcPr>
          <w:p w:rsidR="001825FD" w:rsidRDefault="001825FD">
            <w:pPr>
              <w:pStyle w:val="ConsPlusNormal"/>
              <w:jc w:val="center"/>
            </w:pPr>
            <w:r>
              <w:t>Источник информации</w:t>
            </w:r>
          </w:p>
        </w:tc>
        <w:tc>
          <w:tcPr>
            <w:tcW w:w="1871" w:type="dxa"/>
          </w:tcPr>
          <w:p w:rsidR="001825FD" w:rsidRDefault="001825FD">
            <w:pPr>
              <w:pStyle w:val="ConsPlusNormal"/>
              <w:jc w:val="center"/>
            </w:pPr>
            <w:r>
              <w:t>Коэффициенты удорожания стоимости предоставления муниципальных услуг</w:t>
            </w:r>
          </w:p>
        </w:tc>
        <w:tc>
          <w:tcPr>
            <w:tcW w:w="1247" w:type="dxa"/>
          </w:tcPr>
          <w:p w:rsidR="001825FD" w:rsidRDefault="001825FD">
            <w:pPr>
              <w:pStyle w:val="ConsPlusNormal"/>
              <w:jc w:val="center"/>
            </w:pPr>
            <w:r>
              <w:t>Доля вида расходов репрезентативной системы расходных обязательств</w:t>
            </w:r>
          </w:p>
        </w:tc>
      </w:tr>
      <w:tr w:rsidR="001825FD">
        <w:tc>
          <w:tcPr>
            <w:tcW w:w="2438" w:type="dxa"/>
          </w:tcPr>
          <w:p w:rsidR="001825FD" w:rsidRDefault="001825FD">
            <w:pPr>
              <w:pStyle w:val="ConsPlusNormal"/>
              <w:jc w:val="both"/>
            </w:pPr>
            <w:r>
              <w:t>Организация предоставления общедоступного и бесплатного дошкольного образования на территории муниципального района (городского округа), за исключением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отнесенных к полномочиям органов государственной власти субъектов Российской Федерации</w:t>
            </w:r>
          </w:p>
        </w:tc>
        <w:tc>
          <w:tcPr>
            <w:tcW w:w="1984" w:type="dxa"/>
          </w:tcPr>
          <w:p w:rsidR="001825FD" w:rsidRDefault="001825FD">
            <w:pPr>
              <w:pStyle w:val="ConsPlusNormal"/>
              <w:jc w:val="both"/>
            </w:pPr>
            <w:r>
              <w:t>Численность постоянного населения в возрасте от 1 до 6 лет</w:t>
            </w:r>
          </w:p>
        </w:tc>
        <w:tc>
          <w:tcPr>
            <w:tcW w:w="1531" w:type="dxa"/>
          </w:tcPr>
          <w:p w:rsidR="001825FD" w:rsidRDefault="001825FD">
            <w:pPr>
              <w:pStyle w:val="ConsPlusNormal"/>
              <w:jc w:val="both"/>
            </w:pPr>
            <w:r>
              <w:t>Территориальный орган Федеральной службы государственной статистики по Ивановской области</w:t>
            </w:r>
          </w:p>
        </w:tc>
        <w:tc>
          <w:tcPr>
            <w:tcW w:w="1871" w:type="dxa"/>
          </w:tcPr>
          <w:p w:rsidR="001825FD" w:rsidRDefault="001825FD">
            <w:pPr>
              <w:pStyle w:val="ConsPlusNormal"/>
              <w:jc w:val="both"/>
            </w:pPr>
            <w:r>
              <w:t>Коэффициент расселения населения.</w:t>
            </w:r>
          </w:p>
          <w:p w:rsidR="001825FD" w:rsidRDefault="001825FD">
            <w:pPr>
              <w:pStyle w:val="ConsPlusNormal"/>
              <w:jc w:val="both"/>
            </w:pPr>
            <w:r>
              <w:t>Коэффициент стоимости предоставления коммунальных услуг</w:t>
            </w:r>
          </w:p>
        </w:tc>
        <w:tc>
          <w:tcPr>
            <w:tcW w:w="1247" w:type="dxa"/>
          </w:tcPr>
          <w:p w:rsidR="001825FD" w:rsidRDefault="001825FD">
            <w:pPr>
              <w:pStyle w:val="ConsPlusNormal"/>
              <w:jc w:val="center"/>
            </w:pPr>
            <w:r>
              <w:t>21</w:t>
            </w:r>
          </w:p>
        </w:tc>
      </w:tr>
      <w:tr w:rsidR="001825FD">
        <w:tc>
          <w:tcPr>
            <w:tcW w:w="2438" w:type="dxa"/>
          </w:tcPr>
          <w:p w:rsidR="001825FD" w:rsidRDefault="001825FD">
            <w:pPr>
              <w:pStyle w:val="ConsPlusNormal"/>
              <w:jc w:val="both"/>
            </w:pPr>
            <w:r>
              <w:t xml:space="preserve">Организация предоставления общедоступного и </w:t>
            </w:r>
            <w:r>
              <w:lastRenderedPageBreak/>
              <w:t>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tc>
        <w:tc>
          <w:tcPr>
            <w:tcW w:w="1984" w:type="dxa"/>
          </w:tcPr>
          <w:p w:rsidR="001825FD" w:rsidRDefault="001825FD">
            <w:pPr>
              <w:pStyle w:val="ConsPlusNormal"/>
              <w:jc w:val="both"/>
            </w:pPr>
            <w:r>
              <w:lastRenderedPageBreak/>
              <w:t xml:space="preserve">Численность обучающихся в муниципальных </w:t>
            </w:r>
            <w:r>
              <w:lastRenderedPageBreak/>
              <w:t>общеобразовательных организациях по данным предварительного комплектования на 1 сентября года, предшествующего планируемому, и обучающихся в дошкольных группах в муниципальной общеобразовательной организации</w:t>
            </w:r>
          </w:p>
        </w:tc>
        <w:tc>
          <w:tcPr>
            <w:tcW w:w="1531" w:type="dxa"/>
          </w:tcPr>
          <w:p w:rsidR="001825FD" w:rsidRDefault="001825FD">
            <w:pPr>
              <w:pStyle w:val="ConsPlusNormal"/>
              <w:jc w:val="both"/>
            </w:pPr>
            <w:r>
              <w:lastRenderedPageBreak/>
              <w:t>Исполнительный орган государственн</w:t>
            </w:r>
            <w:r>
              <w:lastRenderedPageBreak/>
              <w:t>ой власти Ивановской области в сфере образования</w:t>
            </w:r>
          </w:p>
        </w:tc>
        <w:tc>
          <w:tcPr>
            <w:tcW w:w="1871" w:type="dxa"/>
          </w:tcPr>
          <w:p w:rsidR="001825FD" w:rsidRDefault="001825FD">
            <w:pPr>
              <w:pStyle w:val="ConsPlusNormal"/>
              <w:jc w:val="both"/>
            </w:pPr>
            <w:r>
              <w:lastRenderedPageBreak/>
              <w:t>Коэффициент расселения населения.</w:t>
            </w:r>
          </w:p>
          <w:p w:rsidR="001825FD" w:rsidRDefault="001825FD">
            <w:pPr>
              <w:pStyle w:val="ConsPlusNormal"/>
              <w:jc w:val="both"/>
            </w:pPr>
            <w:r>
              <w:lastRenderedPageBreak/>
              <w:t>Коэффициент стоимости предоставления коммунальных услуг</w:t>
            </w:r>
          </w:p>
        </w:tc>
        <w:tc>
          <w:tcPr>
            <w:tcW w:w="1247" w:type="dxa"/>
          </w:tcPr>
          <w:p w:rsidR="001825FD" w:rsidRDefault="001825FD">
            <w:pPr>
              <w:pStyle w:val="ConsPlusNormal"/>
              <w:jc w:val="center"/>
            </w:pPr>
            <w:r>
              <w:lastRenderedPageBreak/>
              <w:t>24</w:t>
            </w:r>
          </w:p>
        </w:tc>
      </w:tr>
      <w:tr w:rsidR="001825FD">
        <w:tc>
          <w:tcPr>
            <w:tcW w:w="2438" w:type="dxa"/>
          </w:tcPr>
          <w:p w:rsidR="001825FD" w:rsidRDefault="001825FD">
            <w:pPr>
              <w:pStyle w:val="ConsPlusNormal"/>
              <w:jc w:val="both"/>
            </w:pPr>
            <w:r>
              <w:t>Организация предоставления дополнительного образования на территории муниципального района (городского округа)</w:t>
            </w:r>
          </w:p>
        </w:tc>
        <w:tc>
          <w:tcPr>
            <w:tcW w:w="1984" w:type="dxa"/>
          </w:tcPr>
          <w:p w:rsidR="001825FD" w:rsidRDefault="001825FD">
            <w:pPr>
              <w:pStyle w:val="ConsPlusNormal"/>
              <w:jc w:val="both"/>
            </w:pPr>
            <w:r>
              <w:t>Численность постоянного населения в возрасте от 5 до 18 лет</w:t>
            </w:r>
          </w:p>
        </w:tc>
        <w:tc>
          <w:tcPr>
            <w:tcW w:w="1531" w:type="dxa"/>
          </w:tcPr>
          <w:p w:rsidR="001825FD" w:rsidRDefault="001825FD">
            <w:pPr>
              <w:pStyle w:val="ConsPlusNormal"/>
              <w:jc w:val="both"/>
            </w:pPr>
            <w:r>
              <w:t>Территориальный орган Федеральной службы государственной статистики по Ивановской области</w:t>
            </w:r>
          </w:p>
        </w:tc>
        <w:tc>
          <w:tcPr>
            <w:tcW w:w="1871" w:type="dxa"/>
          </w:tcPr>
          <w:p w:rsidR="001825FD" w:rsidRDefault="001825FD">
            <w:pPr>
              <w:pStyle w:val="ConsPlusNormal"/>
              <w:jc w:val="both"/>
            </w:pPr>
            <w:r>
              <w:t>Коэффициент уровня урбанизации.</w:t>
            </w:r>
          </w:p>
          <w:p w:rsidR="001825FD" w:rsidRDefault="001825FD">
            <w:pPr>
              <w:pStyle w:val="ConsPlusNormal"/>
              <w:jc w:val="both"/>
            </w:pPr>
            <w:r>
              <w:t>Коэффициент стоимости предоставления коммунальных услуг</w:t>
            </w:r>
          </w:p>
        </w:tc>
        <w:tc>
          <w:tcPr>
            <w:tcW w:w="1247" w:type="dxa"/>
          </w:tcPr>
          <w:p w:rsidR="001825FD" w:rsidRDefault="001825FD">
            <w:pPr>
              <w:pStyle w:val="ConsPlusNormal"/>
              <w:jc w:val="center"/>
            </w:pPr>
            <w:r>
              <w:t>7</w:t>
            </w:r>
          </w:p>
        </w:tc>
      </w:tr>
      <w:tr w:rsidR="001825FD">
        <w:tc>
          <w:tcPr>
            <w:tcW w:w="2438" w:type="dxa"/>
          </w:tcPr>
          <w:p w:rsidR="001825FD" w:rsidRDefault="001825FD">
            <w:pPr>
              <w:pStyle w:val="ConsPlusNormal"/>
              <w:jc w:val="both"/>
            </w:pPr>
            <w:r>
              <w:t>Организация библиотечного обслуживания населения, комплектование и обеспечение сохранности библиотечных фондов библиотек, создание условий для организации досуга и обеспечения жителей услугами организаций культуры</w:t>
            </w:r>
          </w:p>
        </w:tc>
        <w:tc>
          <w:tcPr>
            <w:tcW w:w="1984" w:type="dxa"/>
          </w:tcPr>
          <w:p w:rsidR="001825FD" w:rsidRDefault="001825FD">
            <w:pPr>
              <w:pStyle w:val="ConsPlusNormal"/>
              <w:jc w:val="both"/>
            </w:pPr>
            <w:r>
              <w:t>Численность постоянного населения</w:t>
            </w:r>
          </w:p>
        </w:tc>
        <w:tc>
          <w:tcPr>
            <w:tcW w:w="1531" w:type="dxa"/>
          </w:tcPr>
          <w:p w:rsidR="001825FD" w:rsidRDefault="001825FD">
            <w:pPr>
              <w:pStyle w:val="ConsPlusNormal"/>
              <w:jc w:val="both"/>
            </w:pPr>
            <w:r>
              <w:t>Территориальный орган Федеральной службы государственной статистики по Ивановской области</w:t>
            </w:r>
          </w:p>
        </w:tc>
        <w:tc>
          <w:tcPr>
            <w:tcW w:w="1871" w:type="dxa"/>
          </w:tcPr>
          <w:p w:rsidR="001825FD" w:rsidRDefault="001825FD">
            <w:pPr>
              <w:pStyle w:val="ConsPlusNormal"/>
              <w:jc w:val="both"/>
            </w:pPr>
            <w:r>
              <w:t>Коэффициент расселения населения.</w:t>
            </w:r>
          </w:p>
          <w:p w:rsidR="001825FD" w:rsidRDefault="001825FD">
            <w:pPr>
              <w:pStyle w:val="ConsPlusNormal"/>
              <w:jc w:val="both"/>
            </w:pPr>
            <w:r>
              <w:t>Коэффициент стоимости предоставления коммунальных услуг</w:t>
            </w:r>
          </w:p>
        </w:tc>
        <w:tc>
          <w:tcPr>
            <w:tcW w:w="1247" w:type="dxa"/>
          </w:tcPr>
          <w:p w:rsidR="001825FD" w:rsidRDefault="001825FD">
            <w:pPr>
              <w:pStyle w:val="ConsPlusNormal"/>
              <w:jc w:val="center"/>
            </w:pPr>
            <w:r>
              <w:t>5</w:t>
            </w:r>
          </w:p>
        </w:tc>
      </w:tr>
      <w:tr w:rsidR="001825FD">
        <w:tc>
          <w:tcPr>
            <w:tcW w:w="2438" w:type="dxa"/>
          </w:tcPr>
          <w:p w:rsidR="001825FD" w:rsidRDefault="001825FD">
            <w:pPr>
              <w:pStyle w:val="ConsPlusNormal"/>
              <w:jc w:val="both"/>
            </w:pPr>
            <w:r>
              <w:t>Иные вопросы местного значения</w:t>
            </w:r>
          </w:p>
        </w:tc>
        <w:tc>
          <w:tcPr>
            <w:tcW w:w="1984" w:type="dxa"/>
          </w:tcPr>
          <w:p w:rsidR="001825FD" w:rsidRDefault="001825FD">
            <w:pPr>
              <w:pStyle w:val="ConsPlusNormal"/>
              <w:jc w:val="both"/>
            </w:pPr>
            <w:r>
              <w:t>Численность постоянного населения</w:t>
            </w:r>
          </w:p>
        </w:tc>
        <w:tc>
          <w:tcPr>
            <w:tcW w:w="1531" w:type="dxa"/>
          </w:tcPr>
          <w:p w:rsidR="001825FD" w:rsidRDefault="001825FD">
            <w:pPr>
              <w:pStyle w:val="ConsPlusNormal"/>
              <w:jc w:val="both"/>
            </w:pPr>
            <w:r>
              <w:t>Территориальный орган Федеральной службы государственной статистики по Ивановской области</w:t>
            </w:r>
          </w:p>
        </w:tc>
        <w:tc>
          <w:tcPr>
            <w:tcW w:w="1871" w:type="dxa"/>
          </w:tcPr>
          <w:p w:rsidR="001825FD" w:rsidRDefault="001825FD">
            <w:pPr>
              <w:pStyle w:val="ConsPlusNormal"/>
              <w:jc w:val="both"/>
            </w:pPr>
            <w:r>
              <w:t>Коэффициент расселения населения.</w:t>
            </w:r>
          </w:p>
          <w:p w:rsidR="001825FD" w:rsidRDefault="001825FD">
            <w:pPr>
              <w:pStyle w:val="ConsPlusNormal"/>
              <w:jc w:val="both"/>
            </w:pPr>
            <w:r>
              <w:t>Коэффициент стоимости предоставления коммунальных услуг</w:t>
            </w:r>
          </w:p>
        </w:tc>
        <w:tc>
          <w:tcPr>
            <w:tcW w:w="1247" w:type="dxa"/>
          </w:tcPr>
          <w:p w:rsidR="001825FD" w:rsidRDefault="001825FD">
            <w:pPr>
              <w:pStyle w:val="ConsPlusNormal"/>
              <w:jc w:val="center"/>
            </w:pPr>
            <w:r>
              <w:t>43</w:t>
            </w:r>
          </w:p>
        </w:tc>
      </w:tr>
    </w:tbl>
    <w:p w:rsidR="001825FD" w:rsidRDefault="001825FD">
      <w:pPr>
        <w:pStyle w:val="ConsPlusNormal"/>
        <w:jc w:val="both"/>
      </w:pPr>
    </w:p>
    <w:p w:rsidR="00D12824" w:rsidRDefault="00D12824"/>
    <w:sectPr w:rsidR="00D1282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FD"/>
    <w:rsid w:val="001825FD"/>
    <w:rsid w:val="00D1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0B3FF-10EC-494D-89D7-ADAAB432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5F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825FD"/>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hyperlink" Target="consultantplus://offline/ref=8B260757E8577F6644727EA1E744A9A24CD3339CAD5AA27DC1FC588E0967FB09E9F52B849B49FC6D70D31E5AFB545F53A457540A31CD424DF67217B9TBi0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hyperlink" Target="consultantplus://offline/ref=8B260757E8577F6644727EA1E744A9A24CD3339CAD5AA27DC1FC588E0967FB09E9F52B849B49FC6D70D31E5AFB545F53A457540A31CD424DF67217B9TBi0G" TargetMode="Externa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Бородулина Светлана Александровна</dc:creator>
  <cp:keywords/>
  <dc:description/>
  <cp:lastModifiedBy>Бородулина Светлана Александровна</cp:lastModifiedBy>
  <cp:revision>1</cp:revision>
  <dcterms:created xsi:type="dcterms:W3CDTF">2022-10-31T06:34:00Z</dcterms:created>
  <dcterms:modified xsi:type="dcterms:W3CDTF">2022-10-31T06:39:00Z</dcterms:modified>
</cp:coreProperties>
</file>